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ШВЕЦІЯ</w:t>
      </w:r>
      <w:r w:rsidR="00BD284D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 Швеції всі навчальні заклади є державними та надають освіту безкоштовно. Шведські виші прагнуть до універсальності освітніх послу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>г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що спрощує систему управління та акредитації й призводить до інтенсивніших зв'язків між навчальними закладами та їхніми програмами, 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>можливості зміни вишів студентами та викладачами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 Водночас шведські вищі навчальні заклади достатньо самостійні у виборі партнерів та встановленні міжнародних зв'язків.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 Швеції існує загальнонаціональний координаційний та інформаційний центр, що займається питаннями міжнародних контактів – Шведський Інститут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Svenska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Institutet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 Проте бажаючим продовжити в цій державі освіту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слід спочатку звернутися до о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браного навчального закладу та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отримати згоду потенційного наукового керівника (для аспірантів та стажерів-дослідників). Після цього можна звертатися до інституту за фінансовою підтримкою, про яку також буде клопотати обраний заклад.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Вступити до вищого навчального закладу на перший щабель освіти для нерезидента практично неможливо. Для цього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окрім володіння шведською та наявним еквівалентом шведського атестату зрілості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необхідно надати серйозні обґрунтування свого прагнення вступити до вишу саме у Швеції, а також гарантії фінансового забезпечення протягом усього терміну навчання. Значно простіше зареєструватися на спеціальну програму навчання. Про наявність місць та вимоги до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аплікантів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можна дізнатися у Шведському Інституті. У багатьох вишах є спеціальні міжнародні програми, де навчаються англійською.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Система вищої освіти Швеції двоступенева.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ПЕРШИЙ СТУПІНЬ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Вища освіта базового рівня здійснюється у формі навчальних курсів. Причому студенти можуть вибрати окремі курси і комбінувати їх. За кожен присуджуються залікові одиниці або бали. Про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тягом одного року необхідно отримати 60 таких одиниць. Диплом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hogskoleexamen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 присуджуєть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ся за наявності не менше 120 </w:t>
      </w:r>
      <w:r w:rsidR="00BD28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одиниць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(два роки очної форми навчання). Такий диплом можна отримати в усіх університетах та інститутах. Ступінь бакалавра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kandidatexamen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 передбачає наявність 180 залікових одиниць, що відповідає 3 рокам навчання. Для отримання наступного ступеню магістра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magisterexamen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 потрібно ще 120 залікових одиниць.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ДРУГИЙ СТУПІНЬ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Ступінь ліценціата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licentiatexamen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 потребує 120 залікових одиниць (2 роки навчання та дослід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ницької діяльності, включаючи вели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ку дипломну роботу) при існуванні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не менше 180 залікових одиниць від першого ступеню вищої освіти. Цей ступінь може присуджуватися як проміжний при навчанні за програмою на здобуття ступеню доктора наук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doktorsexamen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 Для отримання докторського ступеню необхідно мінімум чотири роки навчання і 240 залікових одиниць. Док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торська дисертація повинна описувати проведену наукову роботу і включати результати дослі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дження. Обов'язковою вимогою є опублікування й офіційний захист дисертації.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ТА ГРАНТИ</w:t>
      </w:r>
      <w:r w:rsidR="00C86A21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Цілком реально вступити до університету Швеції, одержавши грант на навчання. За інформацією щодо відповідних курсів і програм слід звертатися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безпосередньо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 університетів та коледжів. Фахівці з роботи з іноземними студентами та члени приймальної комісії можуть надати всю необхідну інфор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мацію і форми заявок.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Процедури подачі заявок різняться залежно від статусу й громадянства кандидата, рівня володіння ним шведською мовою. Форми та терміни подачі заявок також можуть варіюватися. Стипендії роз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поділяє Шведський Інститут.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Детальнішу інформацію можна отримати на інтернет-сайті: </w:t>
      </w:r>
      <w:hyperlink r:id="rId7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http://www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.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si.se</w:t>
        </w:r>
      </w:hyperlink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lastRenderedPageBreak/>
        <w:t>ПРОГРАМА ВІСБЮ (VISBY PROGRAMME)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Основною метою Програми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Вісбю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(за назвою головного міста острова Готланд) є зміцнення академічних зв'язків та співпраці між Швецією та країнами, що не входять до Європейського Союзу: Білоруссю, Україною та низкою регіонів Росії.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 рамках програми фінансування можуть о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тримати академічні організації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з цих держав. Мереже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вим академічним програмам, в яких беруть участь розташовані в регіоні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Вісбю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організації, може бути надано підтримку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також 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 території ЄС – в Естонії, Латвії, Литві та Польщі.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 рамках програми студенти можуть отримати індивідуальні стипендії. При цьому основна їх кіль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кість видається студентам з країн, що не входять до ЄС.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Гранти бувають трьох видів: на реалізацію проектів і налагодження зв'язків між організаціями, ін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дивідуальні стипендії та гранти на короткострокові поїздки. Інформацію про тер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>міни подачі заявок слід уточнювати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 інтернет-сайті Шведського Інституту.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ПРОЕКТИ І ЗВ'ЯЗКИ МІЖ ОРГАНІЗАЦІЯМИ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Підтримка проектів і зв'язків між організаціями націлена на стимулювання довгострокового спів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робітництва між вищими освітніми установами.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Фінансову підтримку можуть також отримати ініціативи з освітнього співробітництва між академіч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ними установами та організаціями, пов'язаними з торгівлею, промисловістю, управлінням, культу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рою та засобами масової інформації.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Форма фінансування проектів і контактів між організаціями включає оплату поїздок і проживання. Учасники проектів, зі свого боку, зазвичай випла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>чують заробітну плату викладачам/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науковцям.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Індивідуальні стипендії розраховуються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виходячи з вартості проїзду в країну навчання і 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>у зворотному напрямку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ви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трат на проживання та харчування на період навчання.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Пріоритет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>ними вважаються проекти, спрямовані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 розвиток економічних і політичних реформ та ор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ганізаційний розвиток в регіоні дії Програми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Вісбю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 Вітається активна участь жінок. Заявка повинна бути спрямована шведською або закордонною освітньою установою вищої школи. До неї додаються документи, що підтверджують інтерес учасників до запланованого проекту. Тер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мін подачі заявок – початок березня кожного року. Зразок заявочної анкети і точні дати подання документів можна знайти на сайті Шведського Інституту.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ІНДИВІДУАЛЬНІ СТИПЕНДІЇ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="00C86A21">
        <w:rPr>
          <w:rFonts w:ascii="Arial" w:eastAsia="Times New Roman" w:hAnsi="Arial" w:cs="Arial"/>
          <w:sz w:val="24"/>
          <w:szCs w:val="24"/>
          <w:lang w:val="uk-UA" w:eastAsia="ru-RU"/>
        </w:rPr>
        <w:t>Такі стипендії призначаються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для навчання або проведення досліджень в університетах і коледжах Швеції. Їх надають студентам базової програми навчання, студентам магістерських програм і аспі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рантам на термін від одного місяця до двох років. Програма, за якою планує навчатися кандидат, повинна бути продовженням попереднього етапу навчання. Надаються також стипендії для здій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снення практичних академічних досліджень. 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Якщо ви збираєтеся навчатися в Швеції у ра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мках переддипломної програми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ви насампе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ред повинні бути 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зараховані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освітнім закладом, де збираєтеся здобувати освіту. Для отриман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ня стипендії необхідно надати лист – підтвердження з цього університету. Термін подачі заявок </w:t>
      </w:r>
      <w:r w:rsidRPr="00D56194">
        <w:rPr>
          <w:rFonts w:ascii="Arial" w:eastAsia="Times New Roman" w:hAnsi="Arial" w:cs="Arial"/>
          <w:sz w:val="24"/>
          <w:szCs w:val="24"/>
          <w:lang w:val="uk-UA" w:eastAsia="ru-RU"/>
        </w:rPr>
        <w:t>– до початку березня кожного року.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Детальніша інформація, форми заявок і точні дати доступні на сайті Шведського Інституту.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Розмір стипендії розраховується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виходячи з вартості проїзду до Швеції і 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 зворотному напрямку,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проживання і харчування протягом періоду навчання. 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ГРАНТИ ДЛЯ КОРОТКОСТРОКОВИХ ПОЇЗДОК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Гранти для короткострокових поїздок надають ученим з регіону дії Програми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Вісбю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для проведення досліджень, лекцій, участі в наукових конференціях у Швеції. Короткострокові поїздки тривають від 1 до 2 тижнів. Розмір гранту розраховується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виходячи з транспортних витрат і витрат на проживан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ня та харчування під час поїздки.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Заявка на грант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для короткострокових поїздок може бу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ти подана максимум на три особи. Якщо її подають на одну особу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то використовується така ж форма, як і для індивідуального гранту (роз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міщено на інтернет-сайті: </w:t>
      </w:r>
      <w:hyperlink r:id="rId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www.stud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y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insw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e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den.se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</w:t>
      </w:r>
      <w:bookmarkStart w:id="0" w:name="_GoBack"/>
      <w:bookmarkEnd w:id="0"/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Якщо заявку подають на двох або трьох осіб, необхідно заповнити спеціальну форму заявки на під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тримку проектів </w:t>
      </w:r>
      <w:r w:rsidR="009A6088">
        <w:rPr>
          <w:rFonts w:ascii="Arial" w:eastAsia="Times New Roman" w:hAnsi="Arial" w:cs="Arial"/>
          <w:sz w:val="24"/>
          <w:szCs w:val="24"/>
          <w:lang w:val="uk-UA" w:eastAsia="ru-RU"/>
        </w:rPr>
        <w:t>та зв'язків між організаціями (зразок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 тому ж сайті).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Заявки на гранти для короткострокових поїздок повинні бути отримані Шведським Інститутом не пізніше, ніж за вісім тижнів до запланованої поїздки.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Надсилати їх слід на таку адресу: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Swedish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Institute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Box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7434 SE-103 91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Stockholm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Sweden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факс: +46 8 20 72 48 (заявки, надіслані факсом або електронною поштою, не розглядаються).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ПРОГРАМА СТИПЕНДІЙ ДЛЯ ІНОЗЕМНИХ СТУДЕНТІВ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Представники будь-якої держави, за винятком громадян скандинавських країн, можуть подати за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явку на участь у Програмі стипендій для іноземних студентів.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Ця програма Шведського Інституту спрямована на підтримку студентів, які хочуть вчитися в швед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ських університетах за програмами підготовки магістрів або аспірантів. Стипендії надають незалеж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но від обраної спеціалізації. Детальнішу інформацію можна отримати на сайті Шведського Інститу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ту. Також інформацію про стипендії розміщено на інтернет-сайті: </w:t>
      </w:r>
      <w:hyperlink r:id="rId9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t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udyinsweden.se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 МОЖНА ОТРИМАТИ ДЕТАЛЬНІШУ ІНФОРМАЦІЮ:</w:t>
      </w:r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Посольство Швеції в Україні: Київ, 01901, вул. Івана Франка, 34/33, тел.: (+38 044) 494-42-70, факс: (+38 044) 494-42-71, </w:t>
      </w:r>
      <w:hyperlink r:id="rId10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www.swedenabroad.com/kiev</w:t>
        </w:r>
      </w:hyperlink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Шведський Інститут: </w:t>
      </w:r>
      <w:hyperlink r:id="rId11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www.si.se</w:t>
        </w:r>
      </w:hyperlink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Офіційний сайт, присвячений навчанню в Швеції: </w:t>
      </w:r>
      <w:hyperlink r:id="rId12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www.studyinsweden.se</w:t>
        </w:r>
      </w:hyperlink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Відділ зі співпраці в галузі наукових досліджень (SAREC), Шведське управління міжнародного співробітництва в галузі розвитку (SIDA): </w:t>
      </w:r>
      <w:hyperlink r:id="rId13" w:history="1">
        <w:r w:rsidRPr="00832833">
          <w:rPr>
            <w:rStyle w:val="Hyperlink"/>
            <w:rFonts w:ascii="Arial" w:eastAsia="Times New Roman" w:hAnsi="Arial" w:cs="Arial"/>
            <w:sz w:val="24"/>
            <w:szCs w:val="24"/>
            <w:lang w:val="uk-UA" w:eastAsia="ru-RU"/>
          </w:rPr>
          <w:t>www.sida.se</w:t>
        </w:r>
      </w:hyperlink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Національне агентство з вищої освіти: </w:t>
      </w:r>
      <w:hyperlink r:id="rId14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.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hsv.se</w:t>
        </w:r>
      </w:hyperlink>
    </w:p>
    <w:p w:rsidR="00584FF3" w:rsidRPr="000657A0" w:rsidRDefault="00584FF3" w:rsidP="0058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Асоціація вищої освіти Швеції: </w:t>
      </w:r>
      <w:hyperlink r:id="rId1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.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suhf.se</w:t>
        </w:r>
      </w:hyperlink>
    </w:p>
    <w:p w:rsidR="00A2537B" w:rsidRDefault="00A2537B">
      <w:pPr>
        <w:rPr>
          <w:lang w:val="uk-UA"/>
        </w:rPr>
      </w:pPr>
    </w:p>
    <w:p w:rsidR="00695FE7" w:rsidRDefault="009A6088" w:rsidP="00695FE7">
      <w:pPr>
        <w:rPr>
          <w:i/>
          <w:lang w:val="uk-UA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Підготовле</w:t>
      </w:r>
      <w:r w:rsidR="00695FE7">
        <w:rPr>
          <w:rFonts w:ascii="Arial" w:eastAsia="Times New Roman" w:hAnsi="Arial" w:cs="Arial"/>
          <w:i/>
          <w:sz w:val="24"/>
          <w:szCs w:val="24"/>
          <w:lang w:val="uk-UA" w:eastAsia="ru-RU"/>
        </w:rPr>
        <w:t>но за матеріалами мережі Інтернет</w:t>
      </w: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.</w:t>
      </w:r>
    </w:p>
    <w:p w:rsidR="00695FE7" w:rsidRPr="00584FF3" w:rsidRDefault="00695FE7">
      <w:pPr>
        <w:rPr>
          <w:lang w:val="uk-UA"/>
        </w:rPr>
      </w:pPr>
    </w:p>
    <w:sectPr w:rsidR="00695FE7" w:rsidRPr="00584FF3" w:rsidSect="00D56194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0C" w:rsidRDefault="00FE300C">
      <w:pPr>
        <w:spacing w:after="0" w:line="240" w:lineRule="auto"/>
      </w:pPr>
      <w:r>
        <w:separator/>
      </w:r>
    </w:p>
  </w:endnote>
  <w:endnote w:type="continuationSeparator" w:id="0">
    <w:p w:rsidR="00FE300C" w:rsidRDefault="00F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94" w:rsidRDefault="00D561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94" w:rsidRDefault="00D561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0C" w:rsidRDefault="00FE300C">
      <w:pPr>
        <w:spacing w:after="0" w:line="240" w:lineRule="auto"/>
      </w:pPr>
      <w:r>
        <w:separator/>
      </w:r>
    </w:p>
  </w:footnote>
  <w:footnote w:type="continuationSeparator" w:id="0">
    <w:p w:rsidR="00FE300C" w:rsidRDefault="00F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94" w:rsidRDefault="00D561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94" w:rsidRPr="00AD0BEA" w:rsidRDefault="00D56194" w:rsidP="00D56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F3"/>
    <w:rsid w:val="00440D47"/>
    <w:rsid w:val="0054062A"/>
    <w:rsid w:val="00584FF3"/>
    <w:rsid w:val="005D3970"/>
    <w:rsid w:val="00695FE7"/>
    <w:rsid w:val="00820734"/>
    <w:rsid w:val="009A6088"/>
    <w:rsid w:val="00A10E6E"/>
    <w:rsid w:val="00A2537B"/>
    <w:rsid w:val="00B4476C"/>
    <w:rsid w:val="00BD284D"/>
    <w:rsid w:val="00BE194A"/>
    <w:rsid w:val="00C04A5D"/>
    <w:rsid w:val="00C86A21"/>
    <w:rsid w:val="00D30D6D"/>
    <w:rsid w:val="00D56194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F3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584F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uiPriority w:val="99"/>
    <w:semiHidden/>
    <w:rsid w:val="00584FF3"/>
  </w:style>
  <w:style w:type="character" w:customStyle="1" w:styleId="HeaderChar">
    <w:name w:val="Header Char"/>
    <w:basedOn w:val="DefaultParagraphFont"/>
    <w:link w:val="Header"/>
    <w:uiPriority w:val="99"/>
    <w:rsid w:val="00584FF3"/>
  </w:style>
  <w:style w:type="character" w:styleId="FollowedHyperlink">
    <w:name w:val="FollowedHyperlink"/>
    <w:basedOn w:val="DefaultParagraphFont"/>
    <w:uiPriority w:val="99"/>
    <w:semiHidden/>
    <w:unhideWhenUsed/>
    <w:rsid w:val="00440D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F3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584F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uiPriority w:val="99"/>
    <w:semiHidden/>
    <w:rsid w:val="00584FF3"/>
  </w:style>
  <w:style w:type="character" w:customStyle="1" w:styleId="HeaderChar">
    <w:name w:val="Header Char"/>
    <w:basedOn w:val="DefaultParagraphFont"/>
    <w:link w:val="Header"/>
    <w:uiPriority w:val="99"/>
    <w:rsid w:val="00584FF3"/>
  </w:style>
  <w:style w:type="character" w:styleId="FollowedHyperlink">
    <w:name w:val="FollowedHyperlink"/>
    <w:basedOn w:val="DefaultParagraphFont"/>
    <w:uiPriority w:val="99"/>
    <w:semiHidden/>
    <w:unhideWhenUsed/>
    <w:rsid w:val="00440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insweden.se" TargetMode="External"/><Relationship Id="rId13" Type="http://schemas.openxmlformats.org/officeDocument/2006/relationships/hyperlink" Target="http://www.sida.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.se" TargetMode="External"/><Relationship Id="rId12" Type="http://schemas.openxmlformats.org/officeDocument/2006/relationships/hyperlink" Target="http://www.studyinsweden.se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i.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hf.se" TargetMode="External"/><Relationship Id="rId10" Type="http://schemas.openxmlformats.org/officeDocument/2006/relationships/hyperlink" Target="http://www.swedenabroad.com/kiev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tudyinsweden.se" TargetMode="External"/><Relationship Id="rId14" Type="http://schemas.openxmlformats.org/officeDocument/2006/relationships/hyperlink" Target="http://www.hsv.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5866</Words>
  <Characters>3344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</cp:revision>
  <dcterms:created xsi:type="dcterms:W3CDTF">2017-12-20T10:09:00Z</dcterms:created>
  <dcterms:modified xsi:type="dcterms:W3CDTF">2018-02-02T12:43:00Z</dcterms:modified>
</cp:coreProperties>
</file>