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F694B" w14:textId="0FBDDC6D" w:rsidR="00183CE1" w:rsidRDefault="00F3421C" w:rsidP="002D7749">
      <w:pPr>
        <w:pBdr>
          <w:top w:val="nil"/>
          <w:left w:val="nil"/>
          <w:bottom w:val="nil"/>
          <w:right w:val="nil"/>
          <w:between w:val="nil"/>
        </w:pBdr>
        <w:spacing w:after="200" w:line="360" w:lineRule="auto"/>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sz w:val="28"/>
          <w:szCs w:val="28"/>
        </w:rPr>
        <w:t>СИСТЕМА ФІНАНСУВАННЯ ТЕРИТОРІАЛЬНИХ ГРОМАД В ПІВДЕННО – ЗАХІДНИХ ОБЛАСТЯХ УКРАЇНИ</w:t>
      </w:r>
    </w:p>
    <w:p w14:paraId="32255A36" w14:textId="72246C67" w:rsidR="00183CE1" w:rsidRPr="00183CE1" w:rsidRDefault="00183CE1" w:rsidP="002D7749">
      <w:pPr>
        <w:pBdr>
          <w:top w:val="nil"/>
          <w:left w:val="nil"/>
          <w:bottom w:val="nil"/>
          <w:right w:val="nil"/>
          <w:between w:val="nil"/>
        </w:pBdr>
        <w:spacing w:after="200" w:line="360" w:lineRule="auto"/>
        <w:ind w:left="-567" w:firstLine="141"/>
        <w:jc w:val="right"/>
        <w:rPr>
          <w:rFonts w:ascii="Times New Roman" w:eastAsia="Times New Roman" w:hAnsi="Times New Roman" w:cs="Times New Roman"/>
          <w:b/>
          <w:iCs/>
          <w:color w:val="000000"/>
          <w:sz w:val="28"/>
          <w:szCs w:val="28"/>
          <w:lang w:val="uk-UA"/>
        </w:rPr>
      </w:pPr>
      <w:r w:rsidRPr="00183CE1">
        <w:rPr>
          <w:rFonts w:ascii="Times New Roman" w:eastAsia="Times New Roman" w:hAnsi="Times New Roman" w:cs="Times New Roman"/>
          <w:b/>
          <w:iCs/>
          <w:color w:val="000000"/>
          <w:sz w:val="28"/>
          <w:szCs w:val="28"/>
          <w:lang w:val="uk-UA"/>
        </w:rPr>
        <w:t>Мигун Марина Дмитрівна</w:t>
      </w:r>
      <w:r>
        <w:rPr>
          <w:rFonts w:ascii="Times New Roman" w:eastAsia="Times New Roman" w:hAnsi="Times New Roman" w:cs="Times New Roman"/>
          <w:b/>
          <w:color w:val="000000"/>
          <w:sz w:val="28"/>
          <w:szCs w:val="28"/>
        </w:rPr>
        <w:t>,</w:t>
      </w:r>
    </w:p>
    <w:p w14:paraId="5E029152" w14:textId="77777777" w:rsidR="00183CE1" w:rsidRPr="00C3351A" w:rsidRDefault="00183CE1" w:rsidP="002D7749">
      <w:pPr>
        <w:pBdr>
          <w:top w:val="nil"/>
          <w:left w:val="nil"/>
          <w:bottom w:val="nil"/>
          <w:right w:val="nil"/>
          <w:between w:val="nil"/>
        </w:pBdr>
        <w:spacing w:after="200" w:line="360" w:lineRule="auto"/>
        <w:ind w:left="-567" w:firstLine="141"/>
        <w:jc w:val="right"/>
        <w:rPr>
          <w:rFonts w:ascii="Times New Roman" w:eastAsia="Times New Roman" w:hAnsi="Times New Roman" w:cs="Times New Roman"/>
          <w:iCs/>
          <w:color w:val="000000"/>
          <w:sz w:val="24"/>
          <w:szCs w:val="24"/>
        </w:rPr>
      </w:pPr>
      <w:r>
        <w:rPr>
          <w:rFonts w:ascii="Times New Roman" w:eastAsia="Times New Roman" w:hAnsi="Times New Roman" w:cs="Times New Roman"/>
          <w:color w:val="000000"/>
          <w:sz w:val="24"/>
          <w:szCs w:val="24"/>
        </w:rPr>
        <w:t xml:space="preserve"> </w:t>
      </w:r>
      <w:r w:rsidRPr="00C3351A">
        <w:rPr>
          <w:rFonts w:ascii="Times New Roman" w:eastAsia="Times New Roman" w:hAnsi="Times New Roman" w:cs="Times New Roman"/>
          <w:iCs/>
          <w:color w:val="000000"/>
          <w:sz w:val="28"/>
          <w:szCs w:val="28"/>
        </w:rPr>
        <w:t xml:space="preserve">аспірант кафедри політичних наук і права, </w:t>
      </w:r>
    </w:p>
    <w:p w14:paraId="238DF07A" w14:textId="77777777" w:rsidR="00183CE1" w:rsidRPr="00C3351A" w:rsidRDefault="00183CE1" w:rsidP="002D7749">
      <w:pPr>
        <w:pBdr>
          <w:top w:val="nil"/>
          <w:left w:val="nil"/>
          <w:bottom w:val="nil"/>
          <w:right w:val="nil"/>
          <w:between w:val="nil"/>
        </w:pBdr>
        <w:spacing w:after="200" w:line="360" w:lineRule="auto"/>
        <w:ind w:left="1557" w:firstLine="1275"/>
        <w:jc w:val="right"/>
        <w:rPr>
          <w:rFonts w:ascii="Times New Roman" w:eastAsia="Times New Roman" w:hAnsi="Times New Roman" w:cs="Times New Roman"/>
          <w:iCs/>
          <w:color w:val="000000"/>
          <w:sz w:val="28"/>
          <w:szCs w:val="28"/>
        </w:rPr>
      </w:pPr>
      <w:r w:rsidRPr="00C3351A">
        <w:rPr>
          <w:rFonts w:ascii="Times New Roman" w:eastAsia="Times New Roman" w:hAnsi="Times New Roman" w:cs="Times New Roman"/>
          <w:iCs/>
          <w:color w:val="000000"/>
          <w:sz w:val="28"/>
          <w:szCs w:val="28"/>
        </w:rPr>
        <w:t>Київський національний університет будівництва і архітектури</w:t>
      </w:r>
    </w:p>
    <w:p w14:paraId="174F2B33" w14:textId="69FE34AA" w:rsidR="00183CE1" w:rsidRDefault="00183CE1" w:rsidP="002D7749">
      <w:pPr>
        <w:pBdr>
          <w:top w:val="nil"/>
          <w:left w:val="nil"/>
          <w:bottom w:val="nil"/>
          <w:right w:val="nil"/>
          <w:between w:val="nil"/>
        </w:pBdr>
        <w:spacing w:after="200" w:line="360" w:lineRule="auto"/>
        <w:ind w:left="1557" w:firstLine="1275"/>
        <w:jc w:val="right"/>
        <w:rPr>
          <w:rFonts w:ascii="Times New Roman" w:eastAsia="Times New Roman" w:hAnsi="Times New Roman" w:cs="Times New Roman"/>
          <w:iCs/>
          <w:color w:val="000000"/>
          <w:sz w:val="28"/>
          <w:szCs w:val="28"/>
        </w:rPr>
      </w:pPr>
      <w:r w:rsidRPr="00C3351A">
        <w:rPr>
          <w:rFonts w:ascii="Times New Roman" w:eastAsia="Times New Roman" w:hAnsi="Times New Roman" w:cs="Times New Roman"/>
          <w:iCs/>
          <w:color w:val="000000"/>
          <w:sz w:val="28"/>
          <w:szCs w:val="28"/>
        </w:rPr>
        <w:t>м. Київ, Україна</w:t>
      </w:r>
    </w:p>
    <w:p w14:paraId="1E4904C4" w14:textId="1213C26B" w:rsidR="001D1B75" w:rsidRPr="009546A9" w:rsidRDefault="00C3351A" w:rsidP="002D7749">
      <w:pPr>
        <w:pBdr>
          <w:top w:val="nil"/>
          <w:left w:val="nil"/>
          <w:bottom w:val="nil"/>
          <w:right w:val="nil"/>
          <w:between w:val="nil"/>
        </w:pBdr>
        <w:spacing w:after="200" w:line="360" w:lineRule="auto"/>
        <w:ind w:left="1557" w:firstLine="1275"/>
        <w:jc w:val="right"/>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lang w:val="en-US"/>
        </w:rPr>
        <w:t>maryna</w:t>
      </w:r>
      <w:r w:rsidRPr="009546A9">
        <w:rPr>
          <w:rFonts w:ascii="Times New Roman" w:eastAsia="Times New Roman" w:hAnsi="Times New Roman" w:cs="Times New Roman"/>
          <w:iCs/>
          <w:color w:val="000000"/>
          <w:sz w:val="28"/>
          <w:szCs w:val="28"/>
        </w:rPr>
        <w:t>.</w:t>
      </w:r>
      <w:r>
        <w:rPr>
          <w:rFonts w:ascii="Times New Roman" w:eastAsia="Times New Roman" w:hAnsi="Times New Roman" w:cs="Times New Roman"/>
          <w:iCs/>
          <w:color w:val="000000"/>
          <w:sz w:val="28"/>
          <w:szCs w:val="28"/>
          <w:lang w:val="en-US"/>
        </w:rPr>
        <w:t>maryna</w:t>
      </w:r>
      <w:r w:rsidRPr="009546A9">
        <w:rPr>
          <w:rFonts w:ascii="Times New Roman" w:eastAsia="Times New Roman" w:hAnsi="Times New Roman" w:cs="Times New Roman"/>
          <w:iCs/>
          <w:color w:val="000000"/>
          <w:sz w:val="28"/>
          <w:szCs w:val="28"/>
        </w:rPr>
        <w:t>099@</w:t>
      </w:r>
      <w:r>
        <w:rPr>
          <w:rFonts w:ascii="Times New Roman" w:eastAsia="Times New Roman" w:hAnsi="Times New Roman" w:cs="Times New Roman"/>
          <w:iCs/>
          <w:color w:val="000000"/>
          <w:sz w:val="28"/>
          <w:szCs w:val="28"/>
          <w:lang w:val="en-US"/>
        </w:rPr>
        <w:t>gmail</w:t>
      </w:r>
      <w:r w:rsidRPr="009546A9">
        <w:rPr>
          <w:rFonts w:ascii="Times New Roman" w:eastAsia="Times New Roman" w:hAnsi="Times New Roman" w:cs="Times New Roman"/>
          <w:iCs/>
          <w:color w:val="000000"/>
          <w:sz w:val="28"/>
          <w:szCs w:val="28"/>
        </w:rPr>
        <w:t>.</w:t>
      </w:r>
      <w:r>
        <w:rPr>
          <w:rFonts w:ascii="Times New Roman" w:eastAsia="Times New Roman" w:hAnsi="Times New Roman" w:cs="Times New Roman"/>
          <w:iCs/>
          <w:color w:val="000000"/>
          <w:sz w:val="28"/>
          <w:szCs w:val="28"/>
          <w:lang w:val="en-US"/>
        </w:rPr>
        <w:t>com</w:t>
      </w:r>
    </w:p>
    <w:p w14:paraId="72489D28" w14:textId="77777777" w:rsidR="001D1B75" w:rsidRDefault="00F3421C">
      <w:pPr>
        <w:spacing w:line="360" w:lineRule="auto"/>
        <w:ind w:left="-567"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Децентралізація</w:t>
      </w:r>
      <w:r w:rsidRPr="009546A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фінансових</w:t>
      </w:r>
      <w:r w:rsidRPr="009546A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питань</w:t>
      </w:r>
      <w:r w:rsidRPr="009546A9">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є</w:t>
      </w:r>
      <w:r w:rsidRPr="009546A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одн</w:t>
      </w:r>
      <w:r>
        <w:rPr>
          <w:rFonts w:ascii="Times New Roman" w:eastAsia="Times New Roman" w:hAnsi="Times New Roman" w:cs="Times New Roman"/>
          <w:sz w:val="28"/>
          <w:szCs w:val="28"/>
        </w:rPr>
        <w:t>ією</w:t>
      </w:r>
      <w:r w:rsidRPr="009546A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із</w:t>
      </w:r>
      <w:r w:rsidRPr="009546A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найважливіших</w:t>
      </w:r>
      <w:r w:rsidRPr="009546A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стратегій</w:t>
      </w:r>
      <w:r w:rsidRPr="009546A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повноважень</w:t>
      </w:r>
      <w:r w:rsidRPr="009546A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органів</w:t>
      </w:r>
      <w:r w:rsidRPr="009546A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місцевого</w:t>
      </w:r>
      <w:r w:rsidRPr="009546A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самоврядування</w:t>
      </w:r>
      <w:r w:rsidRPr="009546A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w:t>
      </w:r>
      <w:r w:rsidRPr="009546A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яких</w:t>
      </w:r>
      <w:r w:rsidRPr="009546A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починається</w:t>
      </w:r>
      <w:r w:rsidRPr="009546A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якісне</w:t>
      </w:r>
      <w:r w:rsidRPr="009546A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та</w:t>
      </w:r>
      <w:r w:rsidRPr="009546A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успішне</w:t>
      </w:r>
      <w:r w:rsidRPr="009546A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функціонування</w:t>
      </w:r>
      <w:r w:rsidRPr="009546A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об</w:t>
      </w:r>
      <w:r w:rsidRPr="009546A9">
        <w:rPr>
          <w:rFonts w:ascii="Times New Roman" w:eastAsia="Times New Roman" w:hAnsi="Times New Roman" w:cs="Times New Roman"/>
          <w:sz w:val="28"/>
          <w:szCs w:val="28"/>
        </w:rPr>
        <w:t>’</w:t>
      </w:r>
      <w:r>
        <w:rPr>
          <w:rFonts w:ascii="Times New Roman" w:eastAsia="Times New Roman" w:hAnsi="Times New Roman" w:cs="Times New Roman"/>
          <w:sz w:val="28"/>
          <w:szCs w:val="28"/>
        </w:rPr>
        <w:t>єднаних</w:t>
      </w:r>
      <w:r w:rsidRPr="009546A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громад</w:t>
      </w:r>
      <w:r w:rsidRPr="009546A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Необхідно зазначити, що дійсно з початку впровадження реформи децентралізації відбулись суттєві зміни, на сьогоднішній день ми маємо певні результати проведеної роботи. </w:t>
      </w:r>
    </w:p>
    <w:p w14:paraId="66C1EC15" w14:textId="6B67E3AC" w:rsidR="001D1B75" w:rsidRDefault="00F3421C">
      <w:pPr>
        <w:spacing w:line="360" w:lineRule="auto"/>
        <w:ind w:left="-567" w:firstLine="283"/>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Головним стратегічним завданням модернізації системи державного управління та територіальної організації влади, яка сьогодні здійснюється, є формування ефективного місцевого самоврядування, створення комфортних умов для проживання громадян, надання їм високоякісних та доступних публічних послуг. Досягнення зазначених цілей неможливе без належного</w:t>
      </w:r>
      <w:r w:rsidR="009546A9">
        <w:rPr>
          <w:rFonts w:ascii="Times New Roman" w:eastAsia="Times New Roman" w:hAnsi="Times New Roman" w:cs="Times New Roman"/>
          <w:color w:val="000000"/>
          <w:sz w:val="28"/>
          <w:szCs w:val="28"/>
          <w:highlight w:val="white"/>
          <w:lang w:val="uk-UA"/>
        </w:rPr>
        <w:t xml:space="preserve"> </w:t>
      </w:r>
      <w:r>
        <w:rPr>
          <w:rFonts w:ascii="Times New Roman" w:eastAsia="Times New Roman" w:hAnsi="Times New Roman" w:cs="Times New Roman"/>
          <w:color w:val="000000"/>
          <w:sz w:val="28"/>
          <w:szCs w:val="28"/>
          <w:highlight w:val="white"/>
        </w:rPr>
        <w:t>рівня економічного розвитку відповідних територій, їх фінансового забезпечення і достатніх джерел для наповнення місцевих бюджетів.</w:t>
      </w:r>
    </w:p>
    <w:p w14:paraId="388AD8D7" w14:textId="77777777" w:rsidR="001D1B75" w:rsidRDefault="00F3421C">
      <w:pPr>
        <w:spacing w:line="360" w:lineRule="auto"/>
        <w:ind w:left="-567" w:firstLine="283"/>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Основою перспективного розвитку громад є наступні ключові параметри:</w:t>
      </w:r>
    </w:p>
    <w:p w14:paraId="41AD8992" w14:textId="77777777" w:rsidR="001D1B75" w:rsidRDefault="00F3421C">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достатня кількість кваліфікованих трудових ресурсів;</w:t>
      </w:r>
    </w:p>
    <w:p w14:paraId="39837B3C" w14:textId="77777777" w:rsidR="001D1B75" w:rsidRDefault="00F3421C">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наявність економічно активних суб’єктів підприємницької діяльності;</w:t>
      </w:r>
    </w:p>
    <w:p w14:paraId="041B746F" w14:textId="77777777" w:rsidR="001D1B75" w:rsidRDefault="00F3421C">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розвиток соціальних та промислових інфраструктур;</w:t>
      </w:r>
    </w:p>
    <w:p w14:paraId="2C4E6C50" w14:textId="40FF000D" w:rsidR="001D1B75" w:rsidRDefault="00C966AC">
      <w:pPr>
        <w:shd w:val="clear" w:color="auto" w:fill="FFFFFF"/>
        <w:spacing w:after="150" w:line="360" w:lineRule="auto"/>
        <w:ind w:left="-567"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lastRenderedPageBreak/>
        <w:t>Розглянемо</w:t>
      </w:r>
      <w:r w:rsidR="00F3421C">
        <w:rPr>
          <w:rFonts w:ascii="Times New Roman" w:eastAsia="Times New Roman" w:hAnsi="Times New Roman" w:cs="Times New Roman"/>
          <w:color w:val="000000"/>
          <w:sz w:val="28"/>
          <w:szCs w:val="28"/>
        </w:rPr>
        <w:t xml:space="preserve"> систему фінансування громад південно – західної частини України (Табл</w:t>
      </w:r>
      <w:r w:rsidR="00DA1CBB">
        <w:rPr>
          <w:rFonts w:ascii="Times New Roman" w:eastAsia="Times New Roman" w:hAnsi="Times New Roman" w:cs="Times New Roman"/>
          <w:color w:val="000000"/>
          <w:sz w:val="28"/>
          <w:szCs w:val="28"/>
          <w:lang w:val="uk-UA"/>
        </w:rPr>
        <w:t>.</w:t>
      </w:r>
      <w:r w:rsidR="00F3421C">
        <w:rPr>
          <w:rFonts w:ascii="Times New Roman" w:eastAsia="Times New Roman" w:hAnsi="Times New Roman" w:cs="Times New Roman"/>
          <w:color w:val="000000"/>
          <w:sz w:val="28"/>
          <w:szCs w:val="28"/>
        </w:rPr>
        <w:t>1.). До показників, які характеризують фінансові аспекти діяльності об’єднаних територіальних громад, належать:</w:t>
      </w:r>
    </w:p>
    <w:p w14:paraId="579E166C" w14:textId="77777777" w:rsidR="001D1B75" w:rsidRDefault="00F3421C">
      <w:pPr>
        <w:numPr>
          <w:ilvl w:val="0"/>
          <w:numId w:val="1"/>
        </w:numPr>
        <w:pBdr>
          <w:top w:val="nil"/>
          <w:left w:val="nil"/>
          <w:bottom w:val="nil"/>
          <w:right w:val="nil"/>
          <w:between w:val="nil"/>
        </w:pBdr>
        <w:shd w:val="clear" w:color="auto" w:fill="FFFFFF"/>
        <w:spacing w:before="280" w:after="0" w:line="360" w:lineRule="auto"/>
        <w:ind w:left="-567"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доходи загального фонду на одного  мешканця (співвідношення обсягу надходжень доходів загального фонду без трансфертів до кількості мешканців відповідної ОТГ);</w:t>
      </w:r>
    </w:p>
    <w:p w14:paraId="66CF1382" w14:textId="77777777" w:rsidR="001D1B75" w:rsidRPr="005820BC" w:rsidRDefault="00F3421C">
      <w:pPr>
        <w:numPr>
          <w:ilvl w:val="0"/>
          <w:numId w:val="1"/>
        </w:numPr>
        <w:pBdr>
          <w:top w:val="nil"/>
          <w:left w:val="nil"/>
          <w:bottom w:val="nil"/>
          <w:right w:val="nil"/>
          <w:between w:val="nil"/>
        </w:pBdr>
        <w:shd w:val="clear" w:color="auto" w:fill="FFFFFF"/>
        <w:spacing w:after="0" w:line="360" w:lineRule="auto"/>
        <w:ind w:left="-567" w:firstLine="28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видатки загального фонду на одного мешканця (співвідношення обсягу видатків </w:t>
      </w:r>
      <w:r w:rsidRPr="005820BC">
        <w:rPr>
          <w:rFonts w:ascii="Times New Roman" w:eastAsia="Times New Roman" w:hAnsi="Times New Roman" w:cs="Times New Roman"/>
          <w:color w:val="000000" w:themeColor="text1"/>
          <w:sz w:val="28"/>
          <w:szCs w:val="28"/>
        </w:rPr>
        <w:t>загального фонду до кількості мешканців відповідної ОТГ);</w:t>
      </w:r>
    </w:p>
    <w:p w14:paraId="312C601B" w14:textId="77777777" w:rsidR="001D1B75" w:rsidRPr="005820BC" w:rsidRDefault="00F3421C">
      <w:pPr>
        <w:numPr>
          <w:ilvl w:val="0"/>
          <w:numId w:val="1"/>
        </w:numPr>
        <w:pBdr>
          <w:top w:val="nil"/>
          <w:left w:val="nil"/>
          <w:bottom w:val="nil"/>
          <w:right w:val="nil"/>
          <w:between w:val="nil"/>
        </w:pBdr>
        <w:shd w:val="clear" w:color="auto" w:fill="FFFFFF"/>
        <w:spacing w:after="0" w:line="360" w:lineRule="auto"/>
        <w:ind w:left="-567" w:firstLine="283"/>
        <w:jc w:val="both"/>
        <w:rPr>
          <w:rFonts w:ascii="Times New Roman" w:eastAsia="Times New Roman" w:hAnsi="Times New Roman" w:cs="Times New Roman"/>
          <w:color w:val="000000" w:themeColor="text1"/>
          <w:sz w:val="28"/>
          <w:szCs w:val="28"/>
        </w:rPr>
      </w:pPr>
      <w:r w:rsidRPr="005820BC">
        <w:rPr>
          <w:rFonts w:ascii="Times New Roman" w:eastAsia="Times New Roman" w:hAnsi="Times New Roman" w:cs="Times New Roman"/>
          <w:color w:val="000000" w:themeColor="text1"/>
          <w:sz w:val="28"/>
          <w:szCs w:val="28"/>
        </w:rPr>
        <w:t>видатки на утримання апарату управління у розрахунку на одного мешканця (співвідношення обсягу видатків на утримання апарату управління, проведених за рахунок коштів загального фонду, до кількості мешканців відповідної ОТГ);</w:t>
      </w:r>
    </w:p>
    <w:p w14:paraId="0E6FCBA5" w14:textId="77777777" w:rsidR="001D1B75" w:rsidRPr="005820BC" w:rsidRDefault="00F3421C">
      <w:pPr>
        <w:numPr>
          <w:ilvl w:val="0"/>
          <w:numId w:val="1"/>
        </w:numPr>
        <w:pBdr>
          <w:top w:val="nil"/>
          <w:left w:val="nil"/>
          <w:bottom w:val="nil"/>
          <w:right w:val="nil"/>
          <w:between w:val="nil"/>
        </w:pBdr>
        <w:shd w:val="clear" w:color="auto" w:fill="FFFFFF"/>
        <w:spacing w:after="0" w:line="360" w:lineRule="auto"/>
        <w:ind w:left="-567" w:firstLine="283"/>
        <w:jc w:val="both"/>
        <w:rPr>
          <w:rFonts w:ascii="Times New Roman" w:eastAsia="Times New Roman" w:hAnsi="Times New Roman" w:cs="Times New Roman"/>
          <w:color w:val="000000" w:themeColor="text1"/>
          <w:sz w:val="28"/>
          <w:szCs w:val="28"/>
        </w:rPr>
      </w:pPr>
      <w:r w:rsidRPr="005820BC">
        <w:rPr>
          <w:rFonts w:ascii="Times New Roman" w:eastAsia="Times New Roman" w:hAnsi="Times New Roman" w:cs="Times New Roman"/>
          <w:color w:val="000000" w:themeColor="text1"/>
          <w:sz w:val="28"/>
          <w:szCs w:val="28"/>
        </w:rPr>
        <w:t>капітальні видатки на одного мешканця (співвідношення обсягу капітальних видатків бюджету громади до кількості мешканців відповідної ОТГ);</w:t>
      </w:r>
    </w:p>
    <w:p w14:paraId="71E438A1" w14:textId="77777777" w:rsidR="001D1B75" w:rsidRPr="005B76C7" w:rsidRDefault="00F3421C">
      <w:pPr>
        <w:numPr>
          <w:ilvl w:val="0"/>
          <w:numId w:val="1"/>
        </w:numPr>
        <w:pBdr>
          <w:top w:val="nil"/>
          <w:left w:val="nil"/>
          <w:bottom w:val="nil"/>
          <w:right w:val="nil"/>
          <w:between w:val="nil"/>
        </w:pBdr>
        <w:shd w:val="clear" w:color="auto" w:fill="FFFFFF"/>
        <w:spacing w:after="0" w:line="360" w:lineRule="auto"/>
        <w:ind w:left="-567" w:firstLine="283"/>
        <w:jc w:val="both"/>
        <w:rPr>
          <w:rFonts w:ascii="Times New Roman" w:eastAsia="Times New Roman" w:hAnsi="Times New Roman" w:cs="Times New Roman"/>
          <w:color w:val="000000" w:themeColor="text1"/>
          <w:sz w:val="28"/>
          <w:szCs w:val="28"/>
        </w:rPr>
      </w:pPr>
      <w:r w:rsidRPr="005B76C7">
        <w:rPr>
          <w:rFonts w:ascii="Times New Roman" w:eastAsia="Times New Roman" w:hAnsi="Times New Roman" w:cs="Times New Roman"/>
          <w:color w:val="000000" w:themeColor="text1"/>
          <w:sz w:val="28"/>
          <w:szCs w:val="28"/>
        </w:rPr>
        <w:t>рівень дотаційності бюджетів (співвідношення обсягу базової чи реверсної дотації до загальної суми доходів загального фонду бюджету ОТГ з урахуванням базової чи реверсної дотації без урахування субвенцій з державного бюджету);</w:t>
      </w:r>
    </w:p>
    <w:p w14:paraId="5B5D6176" w14:textId="77777777" w:rsidR="001D1B75" w:rsidRPr="005B76C7" w:rsidRDefault="00F3421C">
      <w:pPr>
        <w:numPr>
          <w:ilvl w:val="0"/>
          <w:numId w:val="1"/>
        </w:numPr>
        <w:pBdr>
          <w:top w:val="nil"/>
          <w:left w:val="nil"/>
          <w:bottom w:val="nil"/>
          <w:right w:val="nil"/>
          <w:between w:val="nil"/>
        </w:pBdr>
        <w:shd w:val="clear" w:color="auto" w:fill="FFFFFF"/>
        <w:spacing w:after="0" w:line="360" w:lineRule="auto"/>
        <w:ind w:left="-567" w:firstLine="283"/>
        <w:jc w:val="both"/>
        <w:rPr>
          <w:rFonts w:ascii="Times New Roman" w:eastAsia="Times New Roman" w:hAnsi="Times New Roman" w:cs="Times New Roman"/>
          <w:color w:val="000000" w:themeColor="text1"/>
          <w:sz w:val="28"/>
          <w:szCs w:val="28"/>
        </w:rPr>
      </w:pPr>
      <w:r w:rsidRPr="005B76C7">
        <w:rPr>
          <w:rFonts w:ascii="Times New Roman" w:eastAsia="Times New Roman" w:hAnsi="Times New Roman" w:cs="Times New Roman"/>
          <w:color w:val="000000" w:themeColor="text1"/>
          <w:sz w:val="28"/>
          <w:szCs w:val="28"/>
        </w:rPr>
        <w:t>співвідношення видатків на утримання апарату управління із сумою доходів загального фонду (співвідношення видатків на утримання апарату управління органів місцевого самоврядування із сумою доходів загального фонду без урахування трансфертів з державного бюджету, у відсотках);</w:t>
      </w:r>
    </w:p>
    <w:p w14:paraId="2870D824" w14:textId="77777777" w:rsidR="001D1B75" w:rsidRPr="005B76C7" w:rsidRDefault="00F3421C">
      <w:pPr>
        <w:numPr>
          <w:ilvl w:val="0"/>
          <w:numId w:val="1"/>
        </w:numPr>
        <w:pBdr>
          <w:top w:val="nil"/>
          <w:left w:val="nil"/>
          <w:bottom w:val="nil"/>
          <w:right w:val="nil"/>
          <w:between w:val="nil"/>
        </w:pBdr>
        <w:shd w:val="clear" w:color="auto" w:fill="FFFFFF"/>
        <w:spacing w:after="0" w:line="360" w:lineRule="auto"/>
        <w:ind w:left="-567" w:firstLine="283"/>
        <w:jc w:val="both"/>
        <w:rPr>
          <w:rFonts w:ascii="Times New Roman" w:eastAsia="Times New Roman" w:hAnsi="Times New Roman" w:cs="Times New Roman"/>
          <w:color w:val="000000" w:themeColor="text1"/>
          <w:sz w:val="28"/>
          <w:szCs w:val="28"/>
        </w:rPr>
      </w:pPr>
      <w:r w:rsidRPr="005B76C7">
        <w:rPr>
          <w:rFonts w:ascii="Times New Roman" w:eastAsia="Times New Roman" w:hAnsi="Times New Roman" w:cs="Times New Roman"/>
          <w:color w:val="000000" w:themeColor="text1"/>
          <w:sz w:val="28"/>
          <w:szCs w:val="28"/>
        </w:rPr>
        <w:t>питома вага заробітної плати у видатках загального фонду бюджету ОТГ (відсоткова частка проведених із загального фонду бюджету видатків на заробітну плату з нарахуваннями до обсягу видатків загального фонду бюджету без урахування трансфертів, перерахованих з бюджету ОТГ до інших бюджетів);</w:t>
      </w:r>
    </w:p>
    <w:p w14:paraId="6C03E777" w14:textId="3CEA3046" w:rsidR="00332AB8" w:rsidRPr="005B76C7" w:rsidRDefault="00F3421C" w:rsidP="00332AB8">
      <w:pPr>
        <w:numPr>
          <w:ilvl w:val="0"/>
          <w:numId w:val="1"/>
        </w:numPr>
        <w:pBdr>
          <w:top w:val="nil"/>
          <w:left w:val="nil"/>
          <w:bottom w:val="nil"/>
          <w:right w:val="nil"/>
          <w:between w:val="nil"/>
        </w:pBdr>
        <w:shd w:val="clear" w:color="auto" w:fill="FFFFFF"/>
        <w:spacing w:after="0" w:line="360" w:lineRule="auto"/>
        <w:ind w:left="-567" w:firstLine="283"/>
        <w:jc w:val="both"/>
        <w:rPr>
          <w:rFonts w:ascii="Times New Roman" w:eastAsia="Times New Roman" w:hAnsi="Times New Roman" w:cs="Times New Roman"/>
          <w:color w:val="000000" w:themeColor="text1"/>
          <w:sz w:val="28"/>
          <w:szCs w:val="28"/>
        </w:rPr>
      </w:pPr>
      <w:r w:rsidRPr="005B76C7">
        <w:rPr>
          <w:rFonts w:ascii="Times New Roman" w:eastAsia="Times New Roman" w:hAnsi="Times New Roman" w:cs="Times New Roman"/>
          <w:color w:val="000000" w:themeColor="text1"/>
          <w:sz w:val="28"/>
          <w:szCs w:val="28"/>
        </w:rPr>
        <w:t>питома вага капітальних видатків у загальному обсязі видатків (частка капітальних видатків у сумарному обсязі видатків загального та спеціального фонду відповідного бюджету ОТГ) [1].</w:t>
      </w:r>
    </w:p>
    <w:p w14:paraId="429F93F7" w14:textId="77777777" w:rsidR="004A22EF" w:rsidRDefault="004A22EF" w:rsidP="00453E06">
      <w:pPr>
        <w:pBdr>
          <w:top w:val="nil"/>
          <w:left w:val="nil"/>
          <w:bottom w:val="nil"/>
          <w:right w:val="nil"/>
          <w:between w:val="nil"/>
        </w:pBdr>
        <w:shd w:val="clear" w:color="auto" w:fill="FFFFFF"/>
        <w:spacing w:after="0" w:line="360" w:lineRule="auto"/>
        <w:ind w:left="7200" w:firstLine="720"/>
        <w:jc w:val="both"/>
        <w:rPr>
          <w:rFonts w:ascii="Times New Roman" w:eastAsia="Times New Roman" w:hAnsi="Times New Roman" w:cs="Times New Roman"/>
          <w:b/>
          <w:bCs/>
          <w:color w:val="000000"/>
          <w:sz w:val="28"/>
          <w:szCs w:val="28"/>
          <w:lang w:val="uk-UA"/>
        </w:rPr>
      </w:pPr>
    </w:p>
    <w:p w14:paraId="2C922139" w14:textId="77777777" w:rsidR="004A22EF" w:rsidRDefault="004A22EF" w:rsidP="00453E06">
      <w:pPr>
        <w:pBdr>
          <w:top w:val="nil"/>
          <w:left w:val="nil"/>
          <w:bottom w:val="nil"/>
          <w:right w:val="nil"/>
          <w:between w:val="nil"/>
        </w:pBdr>
        <w:shd w:val="clear" w:color="auto" w:fill="FFFFFF"/>
        <w:spacing w:after="0" w:line="360" w:lineRule="auto"/>
        <w:ind w:left="7200" w:firstLine="720"/>
        <w:jc w:val="both"/>
        <w:rPr>
          <w:rFonts w:ascii="Times New Roman" w:eastAsia="Times New Roman" w:hAnsi="Times New Roman" w:cs="Times New Roman"/>
          <w:b/>
          <w:bCs/>
          <w:color w:val="000000"/>
          <w:sz w:val="28"/>
          <w:szCs w:val="28"/>
          <w:lang w:val="uk-UA"/>
        </w:rPr>
      </w:pPr>
    </w:p>
    <w:p w14:paraId="7F4ABA87" w14:textId="7EFC3535" w:rsidR="00DA1CBB" w:rsidRDefault="00DA1CBB" w:rsidP="00453E06">
      <w:pPr>
        <w:pBdr>
          <w:top w:val="nil"/>
          <w:left w:val="nil"/>
          <w:bottom w:val="nil"/>
          <w:right w:val="nil"/>
          <w:between w:val="nil"/>
        </w:pBdr>
        <w:shd w:val="clear" w:color="auto" w:fill="FFFFFF"/>
        <w:spacing w:after="0" w:line="360" w:lineRule="auto"/>
        <w:ind w:left="7200" w:firstLine="720"/>
        <w:jc w:val="both"/>
        <w:rPr>
          <w:rFonts w:ascii="Times New Roman" w:eastAsia="Times New Roman" w:hAnsi="Times New Roman" w:cs="Times New Roman"/>
          <w:b/>
          <w:bCs/>
          <w:color w:val="000000"/>
          <w:sz w:val="28"/>
          <w:szCs w:val="28"/>
          <w:lang w:val="uk-UA"/>
        </w:rPr>
      </w:pPr>
      <w:r w:rsidRPr="00453E06">
        <w:rPr>
          <w:rFonts w:ascii="Times New Roman" w:eastAsia="Times New Roman" w:hAnsi="Times New Roman" w:cs="Times New Roman"/>
          <w:b/>
          <w:bCs/>
          <w:color w:val="000000"/>
          <w:sz w:val="28"/>
          <w:szCs w:val="28"/>
          <w:lang w:val="uk-UA"/>
        </w:rPr>
        <w:lastRenderedPageBreak/>
        <w:t xml:space="preserve">Таблиця 1 </w:t>
      </w:r>
    </w:p>
    <w:p w14:paraId="741432F7" w14:textId="35514C1F" w:rsidR="00453E06" w:rsidRPr="00453E06" w:rsidRDefault="00453E06" w:rsidP="00453E06">
      <w:pPr>
        <w:pBdr>
          <w:top w:val="nil"/>
          <w:left w:val="nil"/>
          <w:bottom w:val="nil"/>
          <w:right w:val="nil"/>
          <w:between w:val="nil"/>
        </w:pBdr>
        <w:shd w:val="clear" w:color="auto" w:fill="FFFFFF"/>
        <w:spacing w:after="0" w:line="360" w:lineRule="auto"/>
        <w:jc w:val="center"/>
        <w:rPr>
          <w:rFonts w:ascii="Times New Roman" w:eastAsia="Times New Roman" w:hAnsi="Times New Roman" w:cs="Times New Roman"/>
          <w:b/>
          <w:bCs/>
          <w:color w:val="000000"/>
          <w:sz w:val="28"/>
          <w:szCs w:val="28"/>
          <w:lang w:val="uk-UA"/>
        </w:rPr>
      </w:pPr>
      <w:r w:rsidRPr="00453E06">
        <w:rPr>
          <w:rFonts w:ascii="Times New Roman" w:eastAsia="Times New Roman" w:hAnsi="Times New Roman" w:cs="Times New Roman"/>
          <w:b/>
          <w:bCs/>
          <w:color w:val="000000"/>
          <w:sz w:val="28"/>
          <w:szCs w:val="28"/>
          <w:lang w:val="uk-UA"/>
        </w:rPr>
        <w:t>Ф</w:t>
      </w:r>
      <w:r w:rsidRPr="00453E06">
        <w:rPr>
          <w:rFonts w:ascii="Times New Roman" w:eastAsia="Times New Roman" w:hAnsi="Times New Roman" w:cs="Times New Roman"/>
          <w:b/>
          <w:bCs/>
          <w:color w:val="000000"/>
          <w:sz w:val="28"/>
          <w:szCs w:val="28"/>
        </w:rPr>
        <w:t>інансування громад південно – західн</w:t>
      </w:r>
      <w:r w:rsidR="0043278D">
        <w:rPr>
          <w:rFonts w:ascii="Times New Roman" w:eastAsia="Times New Roman" w:hAnsi="Times New Roman" w:cs="Times New Roman"/>
          <w:b/>
          <w:bCs/>
          <w:color w:val="000000"/>
          <w:sz w:val="28"/>
          <w:szCs w:val="28"/>
          <w:lang w:val="uk-UA"/>
        </w:rPr>
        <w:t>их областей</w:t>
      </w:r>
      <w:r w:rsidRPr="00453E06">
        <w:rPr>
          <w:rFonts w:ascii="Times New Roman" w:eastAsia="Times New Roman" w:hAnsi="Times New Roman" w:cs="Times New Roman"/>
          <w:b/>
          <w:bCs/>
          <w:color w:val="000000"/>
          <w:sz w:val="28"/>
          <w:szCs w:val="28"/>
        </w:rPr>
        <w:t xml:space="preserve"> України</w:t>
      </w:r>
    </w:p>
    <w:tbl>
      <w:tblPr>
        <w:tblStyle w:val="ab"/>
        <w:tblW w:w="957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2193"/>
        <w:gridCol w:w="2308"/>
      </w:tblGrid>
      <w:tr w:rsidR="001D1B75" w14:paraId="073E348F" w14:textId="77777777">
        <w:tc>
          <w:tcPr>
            <w:tcW w:w="5070" w:type="dxa"/>
          </w:tcPr>
          <w:p w14:paraId="565A9204" w14:textId="77777777" w:rsidR="001D1B75" w:rsidRPr="00237163" w:rsidRDefault="001D1B75">
            <w:pPr>
              <w:spacing w:line="276" w:lineRule="auto"/>
              <w:jc w:val="both"/>
              <w:rPr>
                <w:rFonts w:ascii="Times New Roman" w:eastAsia="Times New Roman" w:hAnsi="Times New Roman" w:cs="Times New Roman"/>
                <w:b/>
                <w:i/>
                <w:color w:val="000000"/>
                <w:sz w:val="24"/>
                <w:szCs w:val="24"/>
              </w:rPr>
            </w:pPr>
          </w:p>
        </w:tc>
        <w:tc>
          <w:tcPr>
            <w:tcW w:w="4501" w:type="dxa"/>
            <w:gridSpan w:val="2"/>
          </w:tcPr>
          <w:p w14:paraId="6BA07F3D" w14:textId="77777777" w:rsidR="001D1B75" w:rsidRPr="00237163" w:rsidRDefault="00F3421C">
            <w:pPr>
              <w:jc w:val="center"/>
              <w:rPr>
                <w:rFonts w:ascii="Times New Roman" w:eastAsia="Times New Roman" w:hAnsi="Times New Roman" w:cs="Times New Roman"/>
                <w:bCs/>
                <w:iCs/>
                <w:color w:val="000000"/>
                <w:sz w:val="24"/>
                <w:szCs w:val="24"/>
              </w:rPr>
            </w:pPr>
            <w:r w:rsidRPr="00237163">
              <w:rPr>
                <w:rFonts w:ascii="Times New Roman" w:eastAsia="Times New Roman" w:hAnsi="Times New Roman" w:cs="Times New Roman"/>
                <w:bCs/>
                <w:iCs/>
                <w:color w:val="000000"/>
                <w:sz w:val="24"/>
                <w:szCs w:val="24"/>
              </w:rPr>
              <w:t>Середні значення доходів та видатків загального фонду</w:t>
            </w:r>
          </w:p>
        </w:tc>
      </w:tr>
      <w:tr w:rsidR="001D1B75" w14:paraId="6B5592D2" w14:textId="77777777">
        <w:trPr>
          <w:trHeight w:val="525"/>
        </w:trPr>
        <w:tc>
          <w:tcPr>
            <w:tcW w:w="5070" w:type="dxa"/>
          </w:tcPr>
          <w:p w14:paraId="78730CEA" w14:textId="77777777" w:rsidR="001D1B75" w:rsidRPr="00237163" w:rsidRDefault="00F3421C">
            <w:pPr>
              <w:spacing w:line="276" w:lineRule="auto"/>
              <w:jc w:val="both"/>
              <w:rPr>
                <w:rFonts w:ascii="Times New Roman" w:eastAsia="Times New Roman" w:hAnsi="Times New Roman" w:cs="Times New Roman"/>
                <w:bCs/>
                <w:iCs/>
                <w:color w:val="000000"/>
                <w:sz w:val="24"/>
                <w:szCs w:val="24"/>
              </w:rPr>
            </w:pPr>
            <w:r w:rsidRPr="00237163">
              <w:rPr>
                <w:rFonts w:ascii="Times New Roman" w:eastAsia="Times New Roman" w:hAnsi="Times New Roman" w:cs="Times New Roman"/>
                <w:bCs/>
                <w:iCs/>
                <w:color w:val="000000"/>
                <w:sz w:val="24"/>
                <w:szCs w:val="24"/>
              </w:rPr>
              <w:t>Південно – західна територія України</w:t>
            </w:r>
          </w:p>
        </w:tc>
        <w:tc>
          <w:tcPr>
            <w:tcW w:w="2193" w:type="dxa"/>
          </w:tcPr>
          <w:p w14:paraId="70C36B56" w14:textId="77777777" w:rsidR="001D1B75" w:rsidRPr="00237163" w:rsidRDefault="00F3421C">
            <w:pPr>
              <w:jc w:val="center"/>
              <w:rPr>
                <w:rFonts w:ascii="Times New Roman" w:eastAsia="Times New Roman" w:hAnsi="Times New Roman" w:cs="Times New Roman"/>
                <w:bCs/>
                <w:iCs/>
                <w:color w:val="000000"/>
                <w:sz w:val="24"/>
                <w:szCs w:val="24"/>
              </w:rPr>
            </w:pPr>
            <w:r w:rsidRPr="00237163">
              <w:rPr>
                <w:rFonts w:ascii="Times New Roman" w:eastAsia="Times New Roman" w:hAnsi="Times New Roman" w:cs="Times New Roman"/>
                <w:bCs/>
                <w:iCs/>
                <w:color w:val="000000"/>
                <w:sz w:val="24"/>
                <w:szCs w:val="24"/>
              </w:rPr>
              <w:t>Доходи загального фонду на 1 – го мешканця</w:t>
            </w:r>
          </w:p>
        </w:tc>
        <w:tc>
          <w:tcPr>
            <w:tcW w:w="2308" w:type="dxa"/>
          </w:tcPr>
          <w:p w14:paraId="13F9A5AD" w14:textId="77777777" w:rsidR="001D1B75" w:rsidRPr="00237163" w:rsidRDefault="00F3421C">
            <w:pPr>
              <w:jc w:val="center"/>
              <w:rPr>
                <w:rFonts w:ascii="Times New Roman" w:eastAsia="Times New Roman" w:hAnsi="Times New Roman" w:cs="Times New Roman"/>
                <w:bCs/>
                <w:iCs/>
                <w:color w:val="000000"/>
                <w:sz w:val="24"/>
                <w:szCs w:val="24"/>
              </w:rPr>
            </w:pPr>
            <w:r w:rsidRPr="00237163">
              <w:rPr>
                <w:rFonts w:ascii="Times New Roman" w:eastAsia="Times New Roman" w:hAnsi="Times New Roman" w:cs="Times New Roman"/>
                <w:bCs/>
                <w:iCs/>
                <w:color w:val="000000"/>
                <w:sz w:val="24"/>
                <w:szCs w:val="24"/>
              </w:rPr>
              <w:t xml:space="preserve">Видатки загального фонду на 1 – го мешканця </w:t>
            </w:r>
          </w:p>
        </w:tc>
      </w:tr>
      <w:tr w:rsidR="001D1B75" w14:paraId="2BA5FFC6" w14:textId="77777777">
        <w:tc>
          <w:tcPr>
            <w:tcW w:w="5070" w:type="dxa"/>
          </w:tcPr>
          <w:p w14:paraId="4CEE6C3D" w14:textId="77777777" w:rsidR="001D1B75" w:rsidRPr="00237163" w:rsidRDefault="00F3421C">
            <w:pPr>
              <w:spacing w:line="276" w:lineRule="auto"/>
              <w:rPr>
                <w:rFonts w:ascii="Times New Roman" w:eastAsia="Times New Roman" w:hAnsi="Times New Roman" w:cs="Times New Roman"/>
                <w:bCs/>
                <w:iCs/>
                <w:color w:val="000000"/>
                <w:sz w:val="24"/>
                <w:szCs w:val="24"/>
              </w:rPr>
            </w:pPr>
            <w:r w:rsidRPr="00237163">
              <w:rPr>
                <w:rFonts w:ascii="Times New Roman" w:eastAsia="Times New Roman" w:hAnsi="Times New Roman" w:cs="Times New Roman"/>
                <w:bCs/>
                <w:iCs/>
                <w:color w:val="000000"/>
                <w:sz w:val="24"/>
                <w:szCs w:val="24"/>
              </w:rPr>
              <w:t>Одеська область – 31   ОТГ</w:t>
            </w:r>
          </w:p>
        </w:tc>
        <w:tc>
          <w:tcPr>
            <w:tcW w:w="2193" w:type="dxa"/>
          </w:tcPr>
          <w:p w14:paraId="71BB3401" w14:textId="77777777" w:rsidR="001D1B75" w:rsidRPr="00237163" w:rsidRDefault="00F3421C">
            <w:pPr>
              <w:spacing w:line="360" w:lineRule="auto"/>
              <w:jc w:val="center"/>
              <w:rPr>
                <w:rFonts w:ascii="Times New Roman" w:eastAsia="Times New Roman" w:hAnsi="Times New Roman" w:cs="Times New Roman"/>
                <w:bCs/>
                <w:iCs/>
                <w:color w:val="000000"/>
                <w:sz w:val="24"/>
                <w:szCs w:val="24"/>
              </w:rPr>
            </w:pPr>
            <w:r w:rsidRPr="00237163">
              <w:rPr>
                <w:rFonts w:ascii="Times New Roman" w:eastAsia="Times New Roman" w:hAnsi="Times New Roman" w:cs="Times New Roman"/>
                <w:bCs/>
                <w:iCs/>
                <w:color w:val="000000"/>
                <w:sz w:val="24"/>
                <w:szCs w:val="24"/>
              </w:rPr>
              <w:t>6 220,76</w:t>
            </w:r>
          </w:p>
        </w:tc>
        <w:tc>
          <w:tcPr>
            <w:tcW w:w="2308" w:type="dxa"/>
          </w:tcPr>
          <w:p w14:paraId="35C6EE05" w14:textId="77777777" w:rsidR="001D1B75" w:rsidRPr="00237163" w:rsidRDefault="00F3421C">
            <w:pPr>
              <w:spacing w:line="360" w:lineRule="auto"/>
              <w:jc w:val="center"/>
              <w:rPr>
                <w:rFonts w:ascii="Times New Roman" w:eastAsia="Times New Roman" w:hAnsi="Times New Roman" w:cs="Times New Roman"/>
                <w:bCs/>
                <w:iCs/>
                <w:color w:val="000000"/>
                <w:sz w:val="24"/>
                <w:szCs w:val="24"/>
              </w:rPr>
            </w:pPr>
            <w:r w:rsidRPr="00237163">
              <w:rPr>
                <w:rFonts w:ascii="Times New Roman" w:eastAsia="Times New Roman" w:hAnsi="Times New Roman" w:cs="Times New Roman"/>
                <w:bCs/>
                <w:iCs/>
                <w:color w:val="000000"/>
                <w:sz w:val="24"/>
                <w:szCs w:val="24"/>
              </w:rPr>
              <w:t>7 745,08</w:t>
            </w:r>
          </w:p>
        </w:tc>
      </w:tr>
      <w:tr w:rsidR="001D1B75" w14:paraId="1F0154A1" w14:textId="77777777">
        <w:tc>
          <w:tcPr>
            <w:tcW w:w="5070" w:type="dxa"/>
          </w:tcPr>
          <w:p w14:paraId="1A520D1F" w14:textId="77777777" w:rsidR="001D1B75" w:rsidRPr="00237163" w:rsidRDefault="00F3421C">
            <w:pPr>
              <w:spacing w:line="360" w:lineRule="auto"/>
              <w:rPr>
                <w:rFonts w:ascii="Times New Roman" w:eastAsia="Times New Roman" w:hAnsi="Times New Roman" w:cs="Times New Roman"/>
                <w:bCs/>
                <w:iCs/>
                <w:color w:val="000000"/>
                <w:sz w:val="24"/>
                <w:szCs w:val="24"/>
              </w:rPr>
            </w:pPr>
            <w:r w:rsidRPr="00237163">
              <w:rPr>
                <w:rFonts w:ascii="Times New Roman" w:eastAsia="Times New Roman" w:hAnsi="Times New Roman" w:cs="Times New Roman"/>
                <w:bCs/>
                <w:iCs/>
                <w:color w:val="000000"/>
                <w:sz w:val="24"/>
                <w:szCs w:val="24"/>
              </w:rPr>
              <w:t>Чернівецька область – 33 ОТГ</w:t>
            </w:r>
          </w:p>
        </w:tc>
        <w:tc>
          <w:tcPr>
            <w:tcW w:w="2193" w:type="dxa"/>
          </w:tcPr>
          <w:p w14:paraId="58CE2EF5" w14:textId="77777777" w:rsidR="001D1B75" w:rsidRPr="00237163" w:rsidRDefault="00F3421C">
            <w:pPr>
              <w:spacing w:line="360" w:lineRule="auto"/>
              <w:jc w:val="center"/>
              <w:rPr>
                <w:rFonts w:ascii="Times New Roman" w:eastAsia="Times New Roman" w:hAnsi="Times New Roman" w:cs="Times New Roman"/>
                <w:bCs/>
                <w:iCs/>
                <w:color w:val="000000"/>
                <w:sz w:val="24"/>
                <w:szCs w:val="24"/>
              </w:rPr>
            </w:pPr>
            <w:r w:rsidRPr="00237163">
              <w:rPr>
                <w:rFonts w:ascii="Times New Roman" w:eastAsia="Times New Roman" w:hAnsi="Times New Roman" w:cs="Times New Roman"/>
                <w:bCs/>
                <w:iCs/>
                <w:color w:val="000000"/>
                <w:sz w:val="24"/>
                <w:szCs w:val="24"/>
              </w:rPr>
              <w:t>2 816, 86</w:t>
            </w:r>
          </w:p>
        </w:tc>
        <w:tc>
          <w:tcPr>
            <w:tcW w:w="2308" w:type="dxa"/>
          </w:tcPr>
          <w:p w14:paraId="78EC5EE4" w14:textId="77777777" w:rsidR="001D1B75" w:rsidRPr="00237163" w:rsidRDefault="00F3421C">
            <w:pPr>
              <w:spacing w:line="360" w:lineRule="auto"/>
              <w:jc w:val="center"/>
              <w:rPr>
                <w:rFonts w:ascii="Times New Roman" w:eastAsia="Times New Roman" w:hAnsi="Times New Roman" w:cs="Times New Roman"/>
                <w:bCs/>
                <w:iCs/>
                <w:color w:val="000000"/>
                <w:sz w:val="24"/>
                <w:szCs w:val="24"/>
              </w:rPr>
            </w:pPr>
            <w:r w:rsidRPr="00237163">
              <w:rPr>
                <w:rFonts w:ascii="Times New Roman" w:eastAsia="Times New Roman" w:hAnsi="Times New Roman" w:cs="Times New Roman"/>
                <w:bCs/>
                <w:iCs/>
                <w:color w:val="000000"/>
                <w:sz w:val="24"/>
                <w:szCs w:val="24"/>
              </w:rPr>
              <w:t>6 029, 87</w:t>
            </w:r>
          </w:p>
        </w:tc>
      </w:tr>
      <w:tr w:rsidR="001D1B75" w14:paraId="1E766039" w14:textId="77777777">
        <w:tc>
          <w:tcPr>
            <w:tcW w:w="5070" w:type="dxa"/>
          </w:tcPr>
          <w:p w14:paraId="11186B73" w14:textId="77777777" w:rsidR="001D1B75" w:rsidRPr="00237163" w:rsidRDefault="00F3421C">
            <w:pPr>
              <w:spacing w:line="360" w:lineRule="auto"/>
              <w:rPr>
                <w:rFonts w:ascii="Times New Roman" w:eastAsia="Times New Roman" w:hAnsi="Times New Roman" w:cs="Times New Roman"/>
                <w:bCs/>
                <w:iCs/>
                <w:color w:val="000000"/>
                <w:sz w:val="24"/>
                <w:szCs w:val="24"/>
              </w:rPr>
            </w:pPr>
            <w:r w:rsidRPr="00237163">
              <w:rPr>
                <w:rFonts w:ascii="Times New Roman" w:eastAsia="Times New Roman" w:hAnsi="Times New Roman" w:cs="Times New Roman"/>
                <w:bCs/>
                <w:iCs/>
                <w:color w:val="000000"/>
                <w:sz w:val="24"/>
                <w:szCs w:val="24"/>
              </w:rPr>
              <w:t xml:space="preserve">Івано – Франківська область – 33 ОТГ </w:t>
            </w:r>
          </w:p>
        </w:tc>
        <w:tc>
          <w:tcPr>
            <w:tcW w:w="2193" w:type="dxa"/>
          </w:tcPr>
          <w:p w14:paraId="70DECEC6" w14:textId="77777777" w:rsidR="001D1B75" w:rsidRPr="00237163" w:rsidRDefault="00F3421C">
            <w:pPr>
              <w:spacing w:line="360" w:lineRule="auto"/>
              <w:jc w:val="center"/>
              <w:rPr>
                <w:rFonts w:ascii="Times New Roman" w:eastAsia="Times New Roman" w:hAnsi="Times New Roman" w:cs="Times New Roman"/>
                <w:bCs/>
                <w:iCs/>
                <w:color w:val="000000"/>
                <w:sz w:val="24"/>
                <w:szCs w:val="24"/>
              </w:rPr>
            </w:pPr>
            <w:r w:rsidRPr="00237163">
              <w:rPr>
                <w:rFonts w:ascii="Times New Roman" w:eastAsia="Times New Roman" w:hAnsi="Times New Roman" w:cs="Times New Roman"/>
                <w:bCs/>
                <w:iCs/>
                <w:color w:val="000000"/>
                <w:sz w:val="24"/>
                <w:szCs w:val="24"/>
              </w:rPr>
              <w:t>3 270, 55</w:t>
            </w:r>
          </w:p>
        </w:tc>
        <w:tc>
          <w:tcPr>
            <w:tcW w:w="2308" w:type="dxa"/>
          </w:tcPr>
          <w:p w14:paraId="2EAF8462" w14:textId="77777777" w:rsidR="001D1B75" w:rsidRPr="00237163" w:rsidRDefault="00F3421C">
            <w:pPr>
              <w:spacing w:line="360" w:lineRule="auto"/>
              <w:jc w:val="center"/>
              <w:rPr>
                <w:rFonts w:ascii="Times New Roman" w:eastAsia="Times New Roman" w:hAnsi="Times New Roman" w:cs="Times New Roman"/>
                <w:bCs/>
                <w:iCs/>
                <w:color w:val="000000"/>
                <w:sz w:val="24"/>
                <w:szCs w:val="24"/>
              </w:rPr>
            </w:pPr>
            <w:r w:rsidRPr="00237163">
              <w:rPr>
                <w:rFonts w:ascii="Times New Roman" w:eastAsia="Times New Roman" w:hAnsi="Times New Roman" w:cs="Times New Roman"/>
                <w:bCs/>
                <w:iCs/>
                <w:color w:val="000000"/>
                <w:sz w:val="24"/>
                <w:szCs w:val="24"/>
              </w:rPr>
              <w:t>6 878, 10</w:t>
            </w:r>
          </w:p>
        </w:tc>
      </w:tr>
      <w:tr w:rsidR="001D1B75" w14:paraId="1121150C" w14:textId="77777777">
        <w:tc>
          <w:tcPr>
            <w:tcW w:w="5070" w:type="dxa"/>
          </w:tcPr>
          <w:p w14:paraId="3E561C29" w14:textId="77777777" w:rsidR="001D1B75" w:rsidRPr="00237163" w:rsidRDefault="00F3421C">
            <w:pPr>
              <w:spacing w:line="360" w:lineRule="auto"/>
              <w:rPr>
                <w:rFonts w:ascii="Times New Roman" w:eastAsia="Times New Roman" w:hAnsi="Times New Roman" w:cs="Times New Roman"/>
                <w:bCs/>
                <w:iCs/>
                <w:color w:val="000000"/>
                <w:sz w:val="24"/>
                <w:szCs w:val="24"/>
              </w:rPr>
            </w:pPr>
            <w:r w:rsidRPr="00237163">
              <w:rPr>
                <w:rFonts w:ascii="Times New Roman" w:eastAsia="Times New Roman" w:hAnsi="Times New Roman" w:cs="Times New Roman"/>
                <w:bCs/>
                <w:iCs/>
                <w:color w:val="000000"/>
                <w:sz w:val="24"/>
                <w:szCs w:val="24"/>
              </w:rPr>
              <w:t>Львівська область – 40 ОТГ</w:t>
            </w:r>
          </w:p>
        </w:tc>
        <w:tc>
          <w:tcPr>
            <w:tcW w:w="2193" w:type="dxa"/>
          </w:tcPr>
          <w:p w14:paraId="0883263E" w14:textId="77777777" w:rsidR="001D1B75" w:rsidRPr="00237163" w:rsidRDefault="00F3421C">
            <w:pPr>
              <w:spacing w:line="360" w:lineRule="auto"/>
              <w:jc w:val="center"/>
              <w:rPr>
                <w:rFonts w:ascii="Times New Roman" w:eastAsia="Times New Roman" w:hAnsi="Times New Roman" w:cs="Times New Roman"/>
                <w:bCs/>
                <w:iCs/>
                <w:color w:val="000000"/>
                <w:sz w:val="24"/>
                <w:szCs w:val="24"/>
              </w:rPr>
            </w:pPr>
            <w:r w:rsidRPr="00237163">
              <w:rPr>
                <w:rFonts w:ascii="Times New Roman" w:eastAsia="Times New Roman" w:hAnsi="Times New Roman" w:cs="Times New Roman"/>
                <w:bCs/>
                <w:iCs/>
                <w:color w:val="000000"/>
                <w:sz w:val="24"/>
                <w:szCs w:val="24"/>
              </w:rPr>
              <w:t>4 974, 31</w:t>
            </w:r>
          </w:p>
        </w:tc>
        <w:tc>
          <w:tcPr>
            <w:tcW w:w="2308" w:type="dxa"/>
          </w:tcPr>
          <w:p w14:paraId="2A5EC7BB" w14:textId="77777777" w:rsidR="001D1B75" w:rsidRPr="00237163" w:rsidRDefault="00F3421C">
            <w:pPr>
              <w:spacing w:line="360" w:lineRule="auto"/>
              <w:jc w:val="center"/>
              <w:rPr>
                <w:rFonts w:ascii="Times New Roman" w:eastAsia="Times New Roman" w:hAnsi="Times New Roman" w:cs="Times New Roman"/>
                <w:bCs/>
                <w:iCs/>
                <w:color w:val="000000"/>
                <w:sz w:val="24"/>
                <w:szCs w:val="24"/>
              </w:rPr>
            </w:pPr>
            <w:r w:rsidRPr="00237163">
              <w:rPr>
                <w:rFonts w:ascii="Times New Roman" w:eastAsia="Times New Roman" w:hAnsi="Times New Roman" w:cs="Times New Roman"/>
                <w:bCs/>
                <w:iCs/>
                <w:color w:val="000000"/>
                <w:sz w:val="24"/>
                <w:szCs w:val="24"/>
              </w:rPr>
              <w:t>6 584, 49</w:t>
            </w:r>
          </w:p>
        </w:tc>
      </w:tr>
      <w:tr w:rsidR="001D1B75" w14:paraId="3E29EB57" w14:textId="77777777">
        <w:tc>
          <w:tcPr>
            <w:tcW w:w="5070" w:type="dxa"/>
          </w:tcPr>
          <w:p w14:paraId="3D31251B" w14:textId="77777777" w:rsidR="001D1B75" w:rsidRPr="00237163" w:rsidRDefault="00F3421C">
            <w:pPr>
              <w:spacing w:line="360" w:lineRule="auto"/>
              <w:rPr>
                <w:rFonts w:ascii="Times New Roman" w:eastAsia="Times New Roman" w:hAnsi="Times New Roman" w:cs="Times New Roman"/>
                <w:bCs/>
                <w:iCs/>
                <w:color w:val="000000"/>
                <w:sz w:val="24"/>
                <w:szCs w:val="24"/>
              </w:rPr>
            </w:pPr>
            <w:r w:rsidRPr="00237163">
              <w:rPr>
                <w:rFonts w:ascii="Times New Roman" w:eastAsia="Times New Roman" w:hAnsi="Times New Roman" w:cs="Times New Roman"/>
                <w:bCs/>
                <w:iCs/>
                <w:color w:val="000000"/>
                <w:sz w:val="24"/>
                <w:szCs w:val="24"/>
              </w:rPr>
              <w:t>Рівненська область – 35 ОТГ</w:t>
            </w:r>
          </w:p>
        </w:tc>
        <w:tc>
          <w:tcPr>
            <w:tcW w:w="2193" w:type="dxa"/>
          </w:tcPr>
          <w:p w14:paraId="21695C0B" w14:textId="77777777" w:rsidR="001D1B75" w:rsidRPr="00237163" w:rsidRDefault="00F3421C">
            <w:pPr>
              <w:spacing w:line="360" w:lineRule="auto"/>
              <w:jc w:val="center"/>
              <w:rPr>
                <w:rFonts w:ascii="Times New Roman" w:eastAsia="Times New Roman" w:hAnsi="Times New Roman" w:cs="Times New Roman"/>
                <w:bCs/>
                <w:iCs/>
                <w:color w:val="000000"/>
                <w:sz w:val="24"/>
                <w:szCs w:val="24"/>
              </w:rPr>
            </w:pPr>
            <w:r w:rsidRPr="00237163">
              <w:rPr>
                <w:rFonts w:ascii="Times New Roman" w:eastAsia="Times New Roman" w:hAnsi="Times New Roman" w:cs="Times New Roman"/>
                <w:bCs/>
                <w:iCs/>
                <w:color w:val="000000"/>
                <w:sz w:val="24"/>
                <w:szCs w:val="24"/>
              </w:rPr>
              <w:t>3 926, 78</w:t>
            </w:r>
          </w:p>
        </w:tc>
        <w:tc>
          <w:tcPr>
            <w:tcW w:w="2308" w:type="dxa"/>
          </w:tcPr>
          <w:p w14:paraId="61FCE6AA" w14:textId="77777777" w:rsidR="001D1B75" w:rsidRPr="00237163" w:rsidRDefault="00F3421C">
            <w:pPr>
              <w:spacing w:line="360" w:lineRule="auto"/>
              <w:jc w:val="center"/>
              <w:rPr>
                <w:rFonts w:ascii="Times New Roman" w:eastAsia="Times New Roman" w:hAnsi="Times New Roman" w:cs="Times New Roman"/>
                <w:bCs/>
                <w:iCs/>
                <w:color w:val="000000"/>
                <w:sz w:val="24"/>
                <w:szCs w:val="24"/>
              </w:rPr>
            </w:pPr>
            <w:r w:rsidRPr="00237163">
              <w:rPr>
                <w:rFonts w:ascii="Times New Roman" w:eastAsia="Times New Roman" w:hAnsi="Times New Roman" w:cs="Times New Roman"/>
                <w:bCs/>
                <w:iCs/>
                <w:color w:val="000000"/>
                <w:sz w:val="24"/>
                <w:szCs w:val="24"/>
              </w:rPr>
              <w:t>7 202, 50</w:t>
            </w:r>
          </w:p>
        </w:tc>
      </w:tr>
      <w:tr w:rsidR="001D1B75" w14:paraId="6F976993" w14:textId="77777777">
        <w:trPr>
          <w:trHeight w:val="404"/>
        </w:trPr>
        <w:tc>
          <w:tcPr>
            <w:tcW w:w="5070" w:type="dxa"/>
          </w:tcPr>
          <w:p w14:paraId="69362B70" w14:textId="77777777" w:rsidR="001D1B75" w:rsidRPr="00237163" w:rsidRDefault="00F3421C">
            <w:pPr>
              <w:spacing w:line="360" w:lineRule="auto"/>
              <w:rPr>
                <w:rFonts w:ascii="Times New Roman" w:eastAsia="Times New Roman" w:hAnsi="Times New Roman" w:cs="Times New Roman"/>
                <w:bCs/>
                <w:iCs/>
                <w:color w:val="000000"/>
                <w:sz w:val="24"/>
                <w:szCs w:val="24"/>
              </w:rPr>
            </w:pPr>
            <w:r w:rsidRPr="00237163">
              <w:rPr>
                <w:rFonts w:ascii="Times New Roman" w:eastAsia="Times New Roman" w:hAnsi="Times New Roman" w:cs="Times New Roman"/>
                <w:bCs/>
                <w:iCs/>
                <w:color w:val="000000"/>
                <w:sz w:val="24"/>
                <w:szCs w:val="24"/>
              </w:rPr>
              <w:t>Закарпатська область – 7 ОТГ</w:t>
            </w:r>
          </w:p>
        </w:tc>
        <w:tc>
          <w:tcPr>
            <w:tcW w:w="2193" w:type="dxa"/>
          </w:tcPr>
          <w:p w14:paraId="5E2D68CA" w14:textId="77777777" w:rsidR="001D1B75" w:rsidRPr="00237163" w:rsidRDefault="00F3421C">
            <w:pPr>
              <w:spacing w:line="360" w:lineRule="auto"/>
              <w:jc w:val="center"/>
              <w:rPr>
                <w:rFonts w:ascii="Times New Roman" w:eastAsia="Times New Roman" w:hAnsi="Times New Roman" w:cs="Times New Roman"/>
                <w:bCs/>
                <w:iCs/>
                <w:color w:val="000000"/>
                <w:sz w:val="24"/>
                <w:szCs w:val="24"/>
              </w:rPr>
            </w:pPr>
            <w:r w:rsidRPr="00237163">
              <w:rPr>
                <w:rFonts w:ascii="Times New Roman" w:eastAsia="Times New Roman" w:hAnsi="Times New Roman" w:cs="Times New Roman"/>
                <w:bCs/>
                <w:iCs/>
                <w:color w:val="000000"/>
                <w:sz w:val="24"/>
                <w:szCs w:val="24"/>
              </w:rPr>
              <w:t>4 977, 17</w:t>
            </w:r>
          </w:p>
        </w:tc>
        <w:tc>
          <w:tcPr>
            <w:tcW w:w="2308" w:type="dxa"/>
          </w:tcPr>
          <w:p w14:paraId="0F19E5F4" w14:textId="77777777" w:rsidR="001D1B75" w:rsidRPr="00237163" w:rsidRDefault="00F3421C">
            <w:pPr>
              <w:spacing w:line="360" w:lineRule="auto"/>
              <w:jc w:val="center"/>
              <w:rPr>
                <w:rFonts w:ascii="Times New Roman" w:eastAsia="Times New Roman" w:hAnsi="Times New Roman" w:cs="Times New Roman"/>
                <w:bCs/>
                <w:iCs/>
                <w:color w:val="000000"/>
                <w:sz w:val="24"/>
                <w:szCs w:val="24"/>
              </w:rPr>
            </w:pPr>
            <w:r w:rsidRPr="00237163">
              <w:rPr>
                <w:rFonts w:ascii="Times New Roman" w:eastAsia="Times New Roman" w:hAnsi="Times New Roman" w:cs="Times New Roman"/>
                <w:bCs/>
                <w:iCs/>
                <w:color w:val="000000"/>
                <w:sz w:val="24"/>
                <w:szCs w:val="24"/>
              </w:rPr>
              <w:t>7 314, 24</w:t>
            </w:r>
          </w:p>
        </w:tc>
      </w:tr>
    </w:tbl>
    <w:p w14:paraId="1EBA257D" w14:textId="77777777" w:rsidR="001D1B75" w:rsidRDefault="001D1B75">
      <w:pPr>
        <w:pBdr>
          <w:top w:val="nil"/>
          <w:left w:val="nil"/>
          <w:bottom w:val="nil"/>
          <w:right w:val="nil"/>
          <w:between w:val="nil"/>
        </w:pBdr>
        <w:shd w:val="clear" w:color="auto" w:fill="FFFFFF"/>
        <w:spacing w:after="0" w:line="360" w:lineRule="auto"/>
        <w:ind w:left="-284"/>
        <w:jc w:val="both"/>
        <w:rPr>
          <w:rFonts w:ascii="Times New Roman" w:eastAsia="Times New Roman" w:hAnsi="Times New Roman" w:cs="Times New Roman"/>
          <w:color w:val="000000"/>
          <w:sz w:val="28"/>
          <w:szCs w:val="28"/>
        </w:rPr>
      </w:pPr>
    </w:p>
    <w:p w14:paraId="4B73B5F6" w14:textId="77777777" w:rsidR="001D1B75" w:rsidRDefault="00F3421C">
      <w:pPr>
        <w:pBdr>
          <w:top w:val="nil"/>
          <w:left w:val="nil"/>
          <w:bottom w:val="nil"/>
          <w:right w:val="nil"/>
          <w:between w:val="nil"/>
        </w:pBdr>
        <w:shd w:val="clear" w:color="auto" w:fill="FFFFFF"/>
        <w:spacing w:after="0" w:line="360" w:lineRule="auto"/>
        <w:ind w:left="-567"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Дані показників значень доходів та видатків загального фонду дають змогу фундаментального уявлення про ресурсний потенціал ОТГ в межах півдня та заходу України та є базовою платформою здійснення поетапного та більш ґрунтовного аналізу фінансових ресурсів та можливостей. </w:t>
      </w:r>
    </w:p>
    <w:p w14:paraId="31186F5E" w14:textId="0E5702E6" w:rsidR="001D1B75" w:rsidRDefault="00F3421C">
      <w:pPr>
        <w:pBdr>
          <w:top w:val="nil"/>
          <w:left w:val="nil"/>
          <w:bottom w:val="nil"/>
          <w:right w:val="nil"/>
          <w:between w:val="nil"/>
        </w:pBdr>
        <w:shd w:val="clear" w:color="auto" w:fill="FFFFFF"/>
        <w:spacing w:after="0" w:line="360" w:lineRule="auto"/>
        <w:ind w:left="-567"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Були досліджені середні значення доходів та видатків загального фонду шести областей України, в яких проживає </w:t>
      </w:r>
      <w:r>
        <w:rPr>
          <w:rFonts w:ascii="Times New Roman" w:eastAsia="Times New Roman" w:hAnsi="Times New Roman" w:cs="Times New Roman"/>
          <w:sz w:val="28"/>
          <w:szCs w:val="28"/>
        </w:rPr>
        <w:t>вагома</w:t>
      </w:r>
      <w:r>
        <w:rPr>
          <w:rFonts w:ascii="Times New Roman" w:eastAsia="Times New Roman" w:hAnsi="Times New Roman" w:cs="Times New Roman"/>
          <w:color w:val="000000"/>
          <w:sz w:val="28"/>
          <w:szCs w:val="28"/>
        </w:rPr>
        <w:t xml:space="preserve"> частка національних меншин</w:t>
      </w:r>
      <w:r w:rsidR="00823D5F">
        <w:rPr>
          <w:rFonts w:ascii="Times New Roman" w:eastAsia="Times New Roman" w:hAnsi="Times New Roman" w:cs="Times New Roman"/>
          <w:color w:val="000000"/>
          <w:sz w:val="28"/>
          <w:szCs w:val="28"/>
          <w:lang w:val="uk-UA"/>
        </w:rPr>
        <w:t>, серед них болгари, гагаузи, поляки, румуни та ін</w:t>
      </w:r>
      <w:r>
        <w:rPr>
          <w:rFonts w:ascii="Times New Roman" w:eastAsia="Times New Roman" w:hAnsi="Times New Roman" w:cs="Times New Roman"/>
          <w:color w:val="000000"/>
          <w:sz w:val="28"/>
          <w:szCs w:val="28"/>
        </w:rPr>
        <w:t xml:space="preserve">. </w:t>
      </w:r>
    </w:p>
    <w:p w14:paraId="11752A30" w14:textId="77777777" w:rsidR="001D1B75" w:rsidRDefault="00F3421C">
      <w:pPr>
        <w:pBdr>
          <w:top w:val="nil"/>
          <w:left w:val="nil"/>
          <w:bottom w:val="nil"/>
          <w:right w:val="nil"/>
          <w:between w:val="nil"/>
        </w:pBdr>
        <w:shd w:val="clear" w:color="auto" w:fill="FFFFFF"/>
        <w:spacing w:after="0" w:line="360" w:lineRule="auto"/>
        <w:ind w:left="-567"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Найбільше значення доходів та видатків загального фонду на 1 – го мешканця зафіксовано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8"/>
          <w:szCs w:val="28"/>
        </w:rPr>
        <w:t xml:space="preserve">в Одеській області: доходи  - 6 220,76, видатки - 7 745,08, найменше значення  в Чернівецькій області: доходи  - 2 816, 86, видатки - 6 029, 87. Всі інші показники по областях мають </w:t>
      </w:r>
      <w:r>
        <w:rPr>
          <w:rFonts w:ascii="Times New Roman" w:eastAsia="Times New Roman" w:hAnsi="Times New Roman" w:cs="Times New Roman"/>
          <w:sz w:val="28"/>
          <w:szCs w:val="28"/>
        </w:rPr>
        <w:t xml:space="preserve">проміжні </w:t>
      </w:r>
      <w:r>
        <w:rPr>
          <w:rFonts w:ascii="Times New Roman" w:eastAsia="Times New Roman" w:hAnsi="Times New Roman" w:cs="Times New Roman"/>
          <w:color w:val="000000"/>
          <w:sz w:val="28"/>
          <w:szCs w:val="28"/>
        </w:rPr>
        <w:t xml:space="preserve">значення.  </w:t>
      </w:r>
    </w:p>
    <w:p w14:paraId="56E04063" w14:textId="77777777" w:rsidR="001D1B75" w:rsidRDefault="00F3421C">
      <w:pPr>
        <w:pBdr>
          <w:top w:val="nil"/>
          <w:left w:val="nil"/>
          <w:bottom w:val="nil"/>
          <w:right w:val="nil"/>
          <w:between w:val="nil"/>
        </w:pBdr>
        <w:shd w:val="clear" w:color="auto" w:fill="FFFFFF"/>
        <w:spacing w:after="0" w:line="360" w:lineRule="auto"/>
        <w:ind w:left="-567"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Варто зазначити, що одними із важливіших для бюджету громад </w:t>
      </w:r>
      <w:r>
        <w:rPr>
          <w:rFonts w:ascii="Times New Roman" w:eastAsia="Times New Roman" w:hAnsi="Times New Roman" w:cs="Times New Roman"/>
          <w:sz w:val="28"/>
          <w:szCs w:val="28"/>
        </w:rPr>
        <w:t>є</w:t>
      </w:r>
      <w:r>
        <w:rPr>
          <w:rFonts w:ascii="Times New Roman" w:eastAsia="Times New Roman" w:hAnsi="Times New Roman" w:cs="Times New Roman"/>
          <w:color w:val="000000"/>
          <w:sz w:val="28"/>
          <w:szCs w:val="28"/>
        </w:rPr>
        <w:t xml:space="preserve"> рента на видобуток вуглеводнів та екологічний податок. </w:t>
      </w:r>
    </w:p>
    <w:p w14:paraId="741304B5" w14:textId="77777777" w:rsidR="001D1B75" w:rsidRPr="00F3421C" w:rsidRDefault="00F3421C">
      <w:pPr>
        <w:pBdr>
          <w:top w:val="nil"/>
          <w:left w:val="nil"/>
          <w:bottom w:val="nil"/>
          <w:right w:val="nil"/>
          <w:between w:val="nil"/>
        </w:pBdr>
        <w:shd w:val="clear" w:color="auto" w:fill="FFFFFF"/>
        <w:spacing w:after="0" w:line="360" w:lineRule="auto"/>
        <w:ind w:left="-567"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Децентралізація ренти.</w:t>
      </w:r>
      <w:r>
        <w:rPr>
          <w:rFonts w:ascii="Times New Roman" w:eastAsia="Times New Roman" w:hAnsi="Times New Roman" w:cs="Times New Roman"/>
          <w:color w:val="000000"/>
          <w:sz w:val="28"/>
          <w:szCs w:val="28"/>
        </w:rPr>
        <w:t xml:space="preserve"> Одним із джерел наповнення місцевих бюджетів та бюджетів ОТГ є рентні платежі. Відповідно </w:t>
      </w:r>
      <w:r w:rsidRPr="00F3421C">
        <w:rPr>
          <w:rFonts w:ascii="Times New Roman" w:eastAsia="Times New Roman" w:hAnsi="Times New Roman" w:cs="Times New Roman"/>
          <w:color w:val="000000"/>
          <w:sz w:val="28"/>
          <w:szCs w:val="28"/>
        </w:rPr>
        <w:t>до Закону України, що стосується децентралізації ренти на видобуток вуглеводнів [2], передбачається</w:t>
      </w:r>
      <w:r>
        <w:rPr>
          <w:rFonts w:ascii="Times New Roman" w:eastAsia="Times New Roman" w:hAnsi="Times New Roman" w:cs="Times New Roman"/>
          <w:color w:val="000000"/>
          <w:sz w:val="28"/>
          <w:szCs w:val="28"/>
        </w:rPr>
        <w:t xml:space="preserve"> такий розподіл: 95 % ренти надходить до державного бюджету, 5 % – розподіляється між місцевими бюджетами різних рівнів. До бюджету ОТГ, на території, якої ведеться видобуток, надходить 3 % рентної плати, 2 % зараховується до обласного бюджету. </w:t>
      </w:r>
      <w:r>
        <w:rPr>
          <w:rFonts w:ascii="Times New Roman" w:eastAsia="Times New Roman" w:hAnsi="Times New Roman" w:cs="Times New Roman"/>
          <w:color w:val="000000"/>
          <w:sz w:val="28"/>
          <w:szCs w:val="28"/>
        </w:rPr>
        <w:lastRenderedPageBreak/>
        <w:t xml:space="preserve">Відповідно, у районний бюджет в цьому випадку не зараховується нічого. Якщо видобуток ведеться не на території ОТГ, то розподіл ренти відбувається так: 2 % надходить у обласний бюджет, іще 2 % – у районі бюджети та 1 % – до бюджетів сільрад. Водночас, за оцінками програми DOBRE (USAID), надходження від екологічного податку та рентної плати для звичайних громад становили менше ніж 1 % у більшості з 50 громад, що </w:t>
      </w:r>
      <w:r w:rsidRPr="00F3421C">
        <w:rPr>
          <w:rFonts w:ascii="Times New Roman" w:eastAsia="Times New Roman" w:hAnsi="Times New Roman" w:cs="Times New Roman"/>
          <w:color w:val="000000"/>
          <w:sz w:val="28"/>
          <w:szCs w:val="28"/>
        </w:rPr>
        <w:t xml:space="preserve">досліджувалися [3]. </w:t>
      </w:r>
    </w:p>
    <w:p w14:paraId="18A87F6E" w14:textId="77777777" w:rsidR="001D1B75" w:rsidRDefault="00F3421C">
      <w:pPr>
        <w:pBdr>
          <w:top w:val="nil"/>
          <w:left w:val="nil"/>
          <w:bottom w:val="nil"/>
          <w:right w:val="nil"/>
          <w:between w:val="nil"/>
        </w:pBdr>
        <w:shd w:val="clear" w:color="auto" w:fill="FFFFFF"/>
        <w:spacing w:after="0" w:line="360" w:lineRule="auto"/>
        <w:ind w:left="-567" w:firstLine="283"/>
        <w:jc w:val="both"/>
        <w:rPr>
          <w:rFonts w:ascii="Times New Roman" w:eastAsia="Times New Roman" w:hAnsi="Times New Roman" w:cs="Times New Roman"/>
          <w:sz w:val="28"/>
          <w:szCs w:val="28"/>
        </w:rPr>
      </w:pPr>
      <w:r w:rsidRPr="00F3421C">
        <w:rPr>
          <w:rFonts w:ascii="Times New Roman" w:eastAsia="Times New Roman" w:hAnsi="Times New Roman" w:cs="Times New Roman"/>
          <w:b/>
          <w:i/>
          <w:sz w:val="28"/>
          <w:szCs w:val="28"/>
        </w:rPr>
        <w:t xml:space="preserve">Екологічний податок. </w:t>
      </w:r>
      <w:r w:rsidRPr="00F3421C">
        <w:rPr>
          <w:rFonts w:ascii="Times New Roman" w:eastAsia="Times New Roman" w:hAnsi="Times New Roman" w:cs="Times New Roman"/>
          <w:sz w:val="28"/>
          <w:szCs w:val="28"/>
        </w:rPr>
        <w:t>Законом України «Про внесення змін до Бюджетного кодексу України» від 22 листопада 2018 р. № 2621-VIIІ [4] змінено склад доходів Державного бюджету України, що визначений статтею 29 Бюджетного</w:t>
      </w:r>
      <w:r>
        <w:rPr>
          <w:rFonts w:ascii="Times New Roman" w:eastAsia="Times New Roman" w:hAnsi="Times New Roman" w:cs="Times New Roman"/>
          <w:sz w:val="28"/>
          <w:szCs w:val="28"/>
        </w:rPr>
        <w:t xml:space="preserve"> кодексу України, у частині розподілу між бюджетами коштів від екологічного податку.</w:t>
      </w:r>
    </w:p>
    <w:p w14:paraId="132D5330" w14:textId="77777777" w:rsidR="001D1B75" w:rsidRDefault="00F3421C">
      <w:pPr>
        <w:pBdr>
          <w:top w:val="nil"/>
          <w:left w:val="nil"/>
          <w:bottom w:val="nil"/>
          <w:right w:val="nil"/>
          <w:between w:val="nil"/>
        </w:pBdr>
        <w:shd w:val="clear" w:color="auto" w:fill="FFFFFF"/>
        <w:spacing w:after="0" w:line="360" w:lineRule="auto"/>
        <w:ind w:left="-567"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Згідно зі статтею 29 Бюджетного кодексу України запроваджено особливий порядок розподілу коштів екологічного податку за викиди забруднюючих речовин стаціонарними джерелами забруднення. Він полягає в тому, що надходження податку в частині викидів двоокису вуглецю (СО2) зараховуються до загального фонду державного бюджету в розмірі 100 %, тоді як надходження податку від викидів інших видів забруднюючих речовин зараховуються до загального фонду державного бюджету лише в розмірі 45 %. Інші 55 % зараховуються до спеціального фонду місцевих бюджетів (окрім податку, що справляється за утворення радіоактивних відходів), у т. ч.: до сільських, селищних, міських бюджетів, бюджетів ОТГ, що створюються згідно із законодавством та перспективними планами формування територій громад, – 25 % (від загальної суми екологічного податку за викиди забруднюючих </w:t>
      </w:r>
      <w:r w:rsidRPr="00F3421C">
        <w:rPr>
          <w:rFonts w:ascii="Times New Roman" w:eastAsia="Times New Roman" w:hAnsi="Times New Roman" w:cs="Times New Roman"/>
          <w:sz w:val="28"/>
          <w:szCs w:val="28"/>
        </w:rPr>
        <w:t>речовин) [c.119, 5].</w:t>
      </w:r>
      <w:r>
        <w:rPr>
          <w:rFonts w:ascii="Times New Roman" w:eastAsia="Times New Roman" w:hAnsi="Times New Roman" w:cs="Times New Roman"/>
          <w:sz w:val="28"/>
          <w:szCs w:val="28"/>
        </w:rPr>
        <w:t xml:space="preserve"> </w:t>
      </w:r>
    </w:p>
    <w:p w14:paraId="4CDD2311" w14:textId="79AEFB67" w:rsidR="001D1B75" w:rsidRDefault="00F3421C">
      <w:pPr>
        <w:pBdr>
          <w:top w:val="nil"/>
          <w:left w:val="nil"/>
          <w:bottom w:val="nil"/>
          <w:right w:val="nil"/>
          <w:between w:val="nil"/>
        </w:pBdr>
        <w:shd w:val="clear" w:color="auto" w:fill="FFFFFF"/>
        <w:spacing w:after="280" w:line="360" w:lineRule="auto"/>
        <w:ind w:left="-567"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Повноваження щодо контролю за повнотою нарахування та сплати податків, включно й екологічного, дотримання інших норм чинного податкового законодавства належать виключно органам Державної фіскальної служби України. Фактично виконавчі органи ОТГ лише отримують інформацію від органів Казначейства про суми сплачених податків, що зараховуються до</w:t>
      </w:r>
      <w:r w:rsidR="00B851FD">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 xml:space="preserve">бюджету відповідної ОТГ, без можливості провести перевірку своєчасності, достовірності, повноти нарахування. </w:t>
      </w:r>
    </w:p>
    <w:p w14:paraId="5A9719B7" w14:textId="592B37DE" w:rsidR="001D1B75" w:rsidRDefault="0011401C">
      <w:pPr>
        <w:pBdr>
          <w:top w:val="nil"/>
          <w:left w:val="nil"/>
          <w:bottom w:val="nil"/>
          <w:right w:val="nil"/>
          <w:between w:val="nil"/>
        </w:pBdr>
        <w:shd w:val="clear" w:color="auto" w:fill="FFFFFF"/>
        <w:spacing w:after="280" w:line="360" w:lineRule="auto"/>
        <w:ind w:left="-567"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lastRenderedPageBreak/>
        <w:t>Розгляну</w:t>
      </w:r>
      <w:r w:rsidR="000D2526">
        <w:rPr>
          <w:rFonts w:ascii="Times New Roman" w:eastAsia="Times New Roman" w:hAnsi="Times New Roman" w:cs="Times New Roman"/>
          <w:color w:val="000000"/>
          <w:sz w:val="28"/>
          <w:szCs w:val="28"/>
          <w:lang w:val="uk-UA"/>
        </w:rPr>
        <w:t xml:space="preserve">та </w:t>
      </w:r>
      <w:r w:rsidR="00F3421C">
        <w:rPr>
          <w:rFonts w:ascii="Times New Roman" w:eastAsia="Times New Roman" w:hAnsi="Times New Roman" w:cs="Times New Roman"/>
          <w:sz w:val="28"/>
          <w:szCs w:val="28"/>
        </w:rPr>
        <w:t>статистик</w:t>
      </w:r>
      <w:r w:rsidR="000D2526">
        <w:rPr>
          <w:rFonts w:ascii="Times New Roman" w:eastAsia="Times New Roman" w:hAnsi="Times New Roman" w:cs="Times New Roman"/>
          <w:sz w:val="28"/>
          <w:szCs w:val="28"/>
          <w:lang w:val="uk-UA"/>
        </w:rPr>
        <w:t>а</w:t>
      </w:r>
      <w:r w:rsidR="00DC0C68">
        <w:rPr>
          <w:rFonts w:ascii="Times New Roman" w:eastAsia="Times New Roman" w:hAnsi="Times New Roman" w:cs="Times New Roman"/>
          <w:color w:val="000000"/>
          <w:sz w:val="28"/>
          <w:szCs w:val="28"/>
          <w:lang w:val="uk-UA"/>
        </w:rPr>
        <w:t xml:space="preserve"> </w:t>
      </w:r>
      <w:r w:rsidR="00F3421C">
        <w:rPr>
          <w:rFonts w:ascii="Times New Roman" w:eastAsia="Times New Roman" w:hAnsi="Times New Roman" w:cs="Times New Roman"/>
          <w:color w:val="000000"/>
          <w:sz w:val="28"/>
          <w:szCs w:val="28"/>
        </w:rPr>
        <w:t xml:space="preserve">системи фінансування територіальних громад в південно </w:t>
      </w:r>
      <w:r w:rsidR="004326FE">
        <w:rPr>
          <w:rFonts w:ascii="Times New Roman" w:eastAsia="Times New Roman" w:hAnsi="Times New Roman" w:cs="Times New Roman"/>
          <w:color w:val="000000"/>
          <w:sz w:val="28"/>
          <w:szCs w:val="28"/>
          <w:lang w:val="uk-UA"/>
        </w:rPr>
        <w:t xml:space="preserve">  </w:t>
      </w:r>
      <w:r w:rsidR="00F3421C">
        <w:rPr>
          <w:rFonts w:ascii="Times New Roman" w:eastAsia="Times New Roman" w:hAnsi="Times New Roman" w:cs="Times New Roman"/>
          <w:color w:val="000000"/>
          <w:sz w:val="28"/>
          <w:szCs w:val="28"/>
        </w:rPr>
        <w:t xml:space="preserve">– західних областях України </w:t>
      </w:r>
      <w:r w:rsidR="00E9495D">
        <w:rPr>
          <w:rFonts w:ascii="Times New Roman" w:eastAsia="Times New Roman" w:hAnsi="Times New Roman" w:cs="Times New Roman"/>
          <w:color w:val="000000"/>
          <w:sz w:val="28"/>
          <w:szCs w:val="28"/>
          <w:lang w:val="uk-UA"/>
        </w:rPr>
        <w:t>свідчить про</w:t>
      </w:r>
      <w:r w:rsidR="00F3421C">
        <w:rPr>
          <w:rFonts w:ascii="Times New Roman" w:eastAsia="Times New Roman" w:hAnsi="Times New Roman" w:cs="Times New Roman"/>
          <w:color w:val="000000"/>
          <w:sz w:val="28"/>
          <w:szCs w:val="28"/>
        </w:rPr>
        <w:t xml:space="preserve"> значний приріст зацікавленості органів місцевого самоврядування</w:t>
      </w:r>
      <w:r w:rsidR="00616796">
        <w:rPr>
          <w:rFonts w:ascii="Times New Roman" w:eastAsia="Times New Roman" w:hAnsi="Times New Roman" w:cs="Times New Roman"/>
          <w:color w:val="000000"/>
          <w:sz w:val="28"/>
          <w:szCs w:val="28"/>
          <w:lang w:val="uk-UA"/>
        </w:rPr>
        <w:t>,</w:t>
      </w:r>
      <w:r w:rsidR="00F3421C">
        <w:rPr>
          <w:rFonts w:ascii="Times New Roman" w:eastAsia="Times New Roman" w:hAnsi="Times New Roman" w:cs="Times New Roman"/>
          <w:color w:val="000000"/>
          <w:sz w:val="28"/>
          <w:szCs w:val="28"/>
        </w:rPr>
        <w:t xml:space="preserve"> покращенні та збільшенні адміністрування податків і зборів, відкриття нових можливостей їх наповнення. Деякі регіони показують високі та ефективні темпи приросту власних доходів. Сьогодення демонструє, що наразі особлива увага приділяється на необхідність формування найбільш оптимальної структури бюджетних видатків, впровадження регулярного аналізу доходів, їх раціонального використання.   </w:t>
      </w:r>
    </w:p>
    <w:p w14:paraId="71C279D0" w14:textId="41271CEB" w:rsidR="001D1B75" w:rsidRDefault="00F3421C">
      <w:pPr>
        <w:pBdr>
          <w:top w:val="nil"/>
          <w:left w:val="nil"/>
          <w:bottom w:val="nil"/>
          <w:right w:val="nil"/>
          <w:between w:val="nil"/>
        </w:pBdr>
        <w:shd w:val="clear" w:color="auto" w:fill="FFFFFF"/>
        <w:spacing w:after="280" w:line="360" w:lineRule="auto"/>
        <w:ind w:left="-567"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Безумовно, якщо у місцевих бюджетів буде достатня наявність ресурсів, в такому випадку територіальна громада матиме можливість надавати більш якісні та ефективні послуги своїм мешканцям, втілювати в реальність свої різнопланові та різнофункціональні проекти для розвитку громад</w:t>
      </w:r>
      <w:r w:rsidR="00537C17" w:rsidRPr="00537C17">
        <w:rPr>
          <w:rFonts w:ascii="Times New Roman" w:eastAsia="Times New Roman" w:hAnsi="Times New Roman" w:cs="Times New Roman"/>
          <w:color w:val="000000"/>
          <w:sz w:val="28"/>
          <w:szCs w:val="28"/>
        </w:rPr>
        <w:t xml:space="preserve"> </w:t>
      </w:r>
      <w:r w:rsidR="00537C17">
        <w:rPr>
          <w:rFonts w:ascii="Times New Roman" w:eastAsia="Times New Roman" w:hAnsi="Times New Roman" w:cs="Times New Roman"/>
          <w:color w:val="000000"/>
          <w:sz w:val="28"/>
          <w:szCs w:val="28"/>
          <w:lang w:val="uk-UA"/>
        </w:rPr>
        <w:t>в майбутньому</w:t>
      </w:r>
      <w:r>
        <w:rPr>
          <w:rFonts w:ascii="Times New Roman" w:eastAsia="Times New Roman" w:hAnsi="Times New Roman" w:cs="Times New Roman"/>
          <w:color w:val="000000"/>
          <w:sz w:val="28"/>
          <w:szCs w:val="28"/>
        </w:rPr>
        <w:t xml:space="preserve">. </w:t>
      </w:r>
    </w:p>
    <w:p w14:paraId="4CC815D3" w14:textId="77777777" w:rsidR="001D1B75" w:rsidRDefault="00F3421C">
      <w:pPr>
        <w:pBdr>
          <w:top w:val="nil"/>
          <w:left w:val="nil"/>
          <w:bottom w:val="nil"/>
          <w:right w:val="nil"/>
          <w:between w:val="nil"/>
        </w:pBdr>
        <w:shd w:val="clear" w:color="auto" w:fill="FFFFFF"/>
        <w:spacing w:after="280" w:line="360" w:lineRule="auto"/>
        <w:ind w:left="-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Список використаних джерел:</w:t>
      </w:r>
    </w:p>
    <w:p w14:paraId="32FA23D5" w14:textId="77777777" w:rsidR="001D1B75" w:rsidRDefault="00F3421C">
      <w:pPr>
        <w:pBdr>
          <w:top w:val="nil"/>
          <w:left w:val="nil"/>
          <w:bottom w:val="nil"/>
          <w:right w:val="nil"/>
          <w:between w:val="nil"/>
        </w:pBdr>
        <w:shd w:val="clear" w:color="auto" w:fill="FFFFFF"/>
        <w:spacing w:after="0"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Аналіз фінансових показників 872 ОТГ у розрізі 24 областей: рейтинг за 2020 рік. URL: </w:t>
      </w:r>
      <w:hyperlink r:id="rId6">
        <w:r>
          <w:rPr>
            <w:rFonts w:ascii="Times New Roman" w:eastAsia="Times New Roman" w:hAnsi="Times New Roman" w:cs="Times New Roman"/>
            <w:color w:val="0563C1"/>
            <w:sz w:val="28"/>
            <w:szCs w:val="28"/>
            <w:u w:val="single"/>
          </w:rPr>
          <w:t>https://decentralization.gov.ua/news/13358</w:t>
        </w:r>
      </w:hyperlink>
    </w:p>
    <w:p w14:paraId="413D7699" w14:textId="77777777" w:rsidR="001D1B75" w:rsidRDefault="00F3421C">
      <w:pPr>
        <w:pBdr>
          <w:top w:val="nil"/>
          <w:left w:val="nil"/>
          <w:bottom w:val="nil"/>
          <w:right w:val="nil"/>
          <w:between w:val="nil"/>
        </w:pBdr>
        <w:shd w:val="clear" w:color="auto" w:fill="FFFFFF"/>
        <w:spacing w:after="0" w:line="360" w:lineRule="auto"/>
        <w:ind w:left="-567"/>
        <w:jc w:val="both"/>
        <w:rPr>
          <w:rFonts w:ascii="Times New Roman" w:eastAsia="Times New Roman" w:hAnsi="Times New Roman" w:cs="Times New Roman"/>
          <w:color w:val="0563C1"/>
          <w:sz w:val="28"/>
          <w:szCs w:val="28"/>
          <w:u w:val="single"/>
        </w:rPr>
      </w:pPr>
      <w:r>
        <w:rPr>
          <w:rFonts w:ascii="Times New Roman" w:eastAsia="Times New Roman" w:hAnsi="Times New Roman" w:cs="Times New Roman"/>
          <w:color w:val="000000"/>
          <w:sz w:val="28"/>
          <w:szCs w:val="28"/>
        </w:rPr>
        <w:t xml:space="preserve">2. Про внесення змін до Бюджетного кодексу України щодо зарахування рентної плати за користування надрами для видобування нафти, природного газу та газового конденсат: Закон України від 20.12.2016 № 1793-VIII. URL: </w:t>
      </w:r>
      <w:hyperlink r:id="rId7">
        <w:r>
          <w:rPr>
            <w:rFonts w:ascii="Times New Roman" w:eastAsia="Times New Roman" w:hAnsi="Times New Roman" w:cs="Times New Roman"/>
            <w:color w:val="0563C1"/>
            <w:sz w:val="28"/>
            <w:szCs w:val="28"/>
            <w:u w:val="single"/>
          </w:rPr>
          <w:t>https://zakon.rada.gov.ua/laws/show/1793-19</w:t>
        </w:r>
      </w:hyperlink>
    </w:p>
    <w:p w14:paraId="6DFBABB6" w14:textId="77777777" w:rsidR="001D1B75" w:rsidRPr="0011401C" w:rsidRDefault="00F3421C">
      <w:pPr>
        <w:pBdr>
          <w:top w:val="nil"/>
          <w:left w:val="nil"/>
          <w:bottom w:val="nil"/>
          <w:right w:val="nil"/>
          <w:between w:val="nil"/>
        </w:pBdr>
        <w:shd w:val="clear" w:color="auto" w:fill="FFFFFF"/>
        <w:spacing w:after="0" w:line="360" w:lineRule="auto"/>
        <w:ind w:left="-567"/>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3. Прихований клондайк: як розкрити потенціал бюджетів об’єднаних громад/ VoxUkraine. </w:t>
      </w:r>
      <w:r w:rsidRPr="0011401C">
        <w:rPr>
          <w:rFonts w:ascii="Times New Roman" w:eastAsia="Times New Roman" w:hAnsi="Times New Roman" w:cs="Times New Roman"/>
          <w:color w:val="000000"/>
          <w:sz w:val="28"/>
          <w:szCs w:val="28"/>
          <w:lang w:val="en-US"/>
        </w:rPr>
        <w:t xml:space="preserve">URL: </w:t>
      </w:r>
      <w:hyperlink r:id="rId8">
        <w:r w:rsidRPr="0011401C">
          <w:rPr>
            <w:rFonts w:ascii="Times New Roman" w:eastAsia="Times New Roman" w:hAnsi="Times New Roman" w:cs="Times New Roman"/>
            <w:color w:val="0563C1"/>
            <w:sz w:val="28"/>
            <w:szCs w:val="28"/>
            <w:u w:val="single"/>
            <w:lang w:val="en-US"/>
          </w:rPr>
          <w:t>https://voxukraine.org/uk/prihovanij-klondajk-yak-rozkriti-potentsial-byudzhetiv-ob-yednanih-teritorialnih-gromad/</w:t>
        </w:r>
      </w:hyperlink>
      <w:r w:rsidRPr="0011401C">
        <w:rPr>
          <w:rFonts w:ascii="Times New Roman" w:eastAsia="Times New Roman" w:hAnsi="Times New Roman" w:cs="Times New Roman"/>
          <w:color w:val="000000"/>
          <w:sz w:val="28"/>
          <w:szCs w:val="28"/>
          <w:lang w:val="en-US"/>
        </w:rPr>
        <w:t xml:space="preserve"> </w:t>
      </w:r>
    </w:p>
    <w:p w14:paraId="6AF7670A" w14:textId="77777777" w:rsidR="001D1B75" w:rsidRDefault="00F3421C">
      <w:pPr>
        <w:pBdr>
          <w:top w:val="nil"/>
          <w:left w:val="nil"/>
          <w:bottom w:val="nil"/>
          <w:right w:val="nil"/>
          <w:between w:val="nil"/>
        </w:pBdr>
        <w:shd w:val="clear" w:color="auto" w:fill="FFFFFF"/>
        <w:spacing w:after="0"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Закон України «Про внесення змін до Бюджетного кодексу України» від 22 листопада 2018 р. № 2621-VIIІ ст. 29 [Електронний ресурс]. – Режим доступу: </w:t>
      </w:r>
      <w:hyperlink r:id="rId9" w:anchor="Text">
        <w:r>
          <w:rPr>
            <w:rFonts w:ascii="Times New Roman" w:eastAsia="Times New Roman" w:hAnsi="Times New Roman" w:cs="Times New Roman"/>
            <w:color w:val="0563C1"/>
            <w:sz w:val="28"/>
            <w:szCs w:val="28"/>
            <w:u w:val="single"/>
          </w:rPr>
          <w:t>https://zakon.rada.gov.ua/laws/show/2621-19#Text</w:t>
        </w:r>
      </w:hyperlink>
      <w:r>
        <w:rPr>
          <w:rFonts w:ascii="Times New Roman" w:eastAsia="Times New Roman" w:hAnsi="Times New Roman" w:cs="Times New Roman"/>
          <w:color w:val="000000"/>
          <w:sz w:val="28"/>
          <w:szCs w:val="28"/>
        </w:rPr>
        <w:t xml:space="preserve"> </w:t>
      </w:r>
    </w:p>
    <w:p w14:paraId="3038E9A3" w14:textId="77777777" w:rsidR="001D1B75" w:rsidRDefault="00F3421C">
      <w:pPr>
        <w:pBdr>
          <w:top w:val="nil"/>
          <w:left w:val="nil"/>
          <w:bottom w:val="nil"/>
          <w:right w:val="nil"/>
          <w:between w:val="nil"/>
        </w:pBdr>
        <w:shd w:val="clear" w:color="auto" w:fill="FFFFFF"/>
        <w:spacing w:after="280"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Децентралізація і формування політики регіонального розвитку в Україні: наук. доп. / [Шевченко О. В., Романова В. В., Жаліло Я. А. та ін.]; за наук. ред. д-ра екон. наук. Я. А. Жаліла. – Київ : НІСД, 2020. – 153 с.</w:t>
      </w:r>
    </w:p>
    <w:sectPr w:rsidR="001D1B75">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83A65"/>
    <w:multiLevelType w:val="multilevel"/>
    <w:tmpl w:val="C58AC4D2"/>
    <w:lvl w:ilvl="0">
      <w:start w:val="1"/>
      <w:numFmt w:val="bullet"/>
      <w:lvlText w:val="-"/>
      <w:lvlJc w:val="left"/>
      <w:pPr>
        <w:ind w:left="76" w:hanging="360"/>
      </w:pPr>
      <w:rPr>
        <w:rFonts w:ascii="Times New Roman" w:eastAsia="Times New Roman" w:hAnsi="Times New Roman" w:cs="Times New Roman"/>
      </w:rPr>
    </w:lvl>
    <w:lvl w:ilvl="1">
      <w:start w:val="1"/>
      <w:numFmt w:val="bullet"/>
      <w:lvlText w:val="o"/>
      <w:lvlJc w:val="left"/>
      <w:pPr>
        <w:ind w:left="796" w:hanging="360"/>
      </w:pPr>
      <w:rPr>
        <w:rFonts w:ascii="Courier New" w:eastAsia="Courier New" w:hAnsi="Courier New" w:cs="Courier New"/>
      </w:rPr>
    </w:lvl>
    <w:lvl w:ilvl="2">
      <w:start w:val="1"/>
      <w:numFmt w:val="bullet"/>
      <w:lvlText w:val="▪"/>
      <w:lvlJc w:val="left"/>
      <w:pPr>
        <w:ind w:left="1516" w:hanging="360"/>
      </w:pPr>
      <w:rPr>
        <w:rFonts w:ascii="Noto Sans Symbols" w:eastAsia="Noto Sans Symbols" w:hAnsi="Noto Sans Symbols" w:cs="Noto Sans Symbols"/>
      </w:rPr>
    </w:lvl>
    <w:lvl w:ilvl="3">
      <w:start w:val="1"/>
      <w:numFmt w:val="bullet"/>
      <w:lvlText w:val="●"/>
      <w:lvlJc w:val="left"/>
      <w:pPr>
        <w:ind w:left="2236" w:hanging="360"/>
      </w:pPr>
      <w:rPr>
        <w:rFonts w:ascii="Noto Sans Symbols" w:eastAsia="Noto Sans Symbols" w:hAnsi="Noto Sans Symbols" w:cs="Noto Sans Symbols"/>
      </w:rPr>
    </w:lvl>
    <w:lvl w:ilvl="4">
      <w:start w:val="1"/>
      <w:numFmt w:val="bullet"/>
      <w:lvlText w:val="o"/>
      <w:lvlJc w:val="left"/>
      <w:pPr>
        <w:ind w:left="2956" w:hanging="360"/>
      </w:pPr>
      <w:rPr>
        <w:rFonts w:ascii="Courier New" w:eastAsia="Courier New" w:hAnsi="Courier New" w:cs="Courier New"/>
      </w:rPr>
    </w:lvl>
    <w:lvl w:ilvl="5">
      <w:start w:val="1"/>
      <w:numFmt w:val="bullet"/>
      <w:lvlText w:val="▪"/>
      <w:lvlJc w:val="left"/>
      <w:pPr>
        <w:ind w:left="3676" w:hanging="360"/>
      </w:pPr>
      <w:rPr>
        <w:rFonts w:ascii="Noto Sans Symbols" w:eastAsia="Noto Sans Symbols" w:hAnsi="Noto Sans Symbols" w:cs="Noto Sans Symbols"/>
      </w:rPr>
    </w:lvl>
    <w:lvl w:ilvl="6">
      <w:start w:val="1"/>
      <w:numFmt w:val="bullet"/>
      <w:lvlText w:val="●"/>
      <w:lvlJc w:val="left"/>
      <w:pPr>
        <w:ind w:left="4396" w:hanging="360"/>
      </w:pPr>
      <w:rPr>
        <w:rFonts w:ascii="Noto Sans Symbols" w:eastAsia="Noto Sans Symbols" w:hAnsi="Noto Sans Symbols" w:cs="Noto Sans Symbols"/>
      </w:rPr>
    </w:lvl>
    <w:lvl w:ilvl="7">
      <w:start w:val="1"/>
      <w:numFmt w:val="bullet"/>
      <w:lvlText w:val="o"/>
      <w:lvlJc w:val="left"/>
      <w:pPr>
        <w:ind w:left="5116" w:hanging="360"/>
      </w:pPr>
      <w:rPr>
        <w:rFonts w:ascii="Courier New" w:eastAsia="Courier New" w:hAnsi="Courier New" w:cs="Courier New"/>
      </w:rPr>
    </w:lvl>
    <w:lvl w:ilvl="8">
      <w:start w:val="1"/>
      <w:numFmt w:val="bullet"/>
      <w:lvlText w:val="▪"/>
      <w:lvlJc w:val="left"/>
      <w:pPr>
        <w:ind w:left="5836" w:hanging="360"/>
      </w:pPr>
      <w:rPr>
        <w:rFonts w:ascii="Noto Sans Symbols" w:eastAsia="Noto Sans Symbols" w:hAnsi="Noto Sans Symbols" w:cs="Noto Sans Symbols"/>
      </w:rPr>
    </w:lvl>
  </w:abstractNum>
  <w:abstractNum w:abstractNumId="1" w15:restartNumberingAfterBreak="0">
    <w:nsid w:val="7E0610E6"/>
    <w:multiLevelType w:val="multilevel"/>
    <w:tmpl w:val="DC762AB4"/>
    <w:lvl w:ilvl="0">
      <w:start w:val="1"/>
      <w:numFmt w:val="bullet"/>
      <w:lvlText w:val="-"/>
      <w:lvlJc w:val="left"/>
      <w:pPr>
        <w:ind w:left="218" w:hanging="360"/>
      </w:pPr>
      <w:rPr>
        <w:rFonts w:ascii="Times New Roman" w:eastAsia="Times New Roman" w:hAnsi="Times New Roman" w:cs="Times New Roman"/>
      </w:rPr>
    </w:lvl>
    <w:lvl w:ilvl="1">
      <w:start w:val="1"/>
      <w:numFmt w:val="bullet"/>
      <w:lvlText w:val="o"/>
      <w:lvlJc w:val="left"/>
      <w:pPr>
        <w:ind w:left="938" w:hanging="360"/>
      </w:pPr>
      <w:rPr>
        <w:rFonts w:ascii="Courier New" w:eastAsia="Courier New" w:hAnsi="Courier New" w:cs="Courier New"/>
      </w:rPr>
    </w:lvl>
    <w:lvl w:ilvl="2">
      <w:start w:val="1"/>
      <w:numFmt w:val="bullet"/>
      <w:lvlText w:val="▪"/>
      <w:lvlJc w:val="left"/>
      <w:pPr>
        <w:ind w:left="1658" w:hanging="360"/>
      </w:pPr>
      <w:rPr>
        <w:rFonts w:ascii="Noto Sans Symbols" w:eastAsia="Noto Sans Symbols" w:hAnsi="Noto Sans Symbols" w:cs="Noto Sans Symbols"/>
      </w:rPr>
    </w:lvl>
    <w:lvl w:ilvl="3">
      <w:start w:val="1"/>
      <w:numFmt w:val="bullet"/>
      <w:lvlText w:val="●"/>
      <w:lvlJc w:val="left"/>
      <w:pPr>
        <w:ind w:left="2378" w:hanging="360"/>
      </w:pPr>
      <w:rPr>
        <w:rFonts w:ascii="Noto Sans Symbols" w:eastAsia="Noto Sans Symbols" w:hAnsi="Noto Sans Symbols" w:cs="Noto Sans Symbols"/>
      </w:rPr>
    </w:lvl>
    <w:lvl w:ilvl="4">
      <w:start w:val="1"/>
      <w:numFmt w:val="bullet"/>
      <w:lvlText w:val="o"/>
      <w:lvlJc w:val="left"/>
      <w:pPr>
        <w:ind w:left="3098" w:hanging="360"/>
      </w:pPr>
      <w:rPr>
        <w:rFonts w:ascii="Courier New" w:eastAsia="Courier New" w:hAnsi="Courier New" w:cs="Courier New"/>
      </w:rPr>
    </w:lvl>
    <w:lvl w:ilvl="5">
      <w:start w:val="1"/>
      <w:numFmt w:val="bullet"/>
      <w:lvlText w:val="▪"/>
      <w:lvlJc w:val="left"/>
      <w:pPr>
        <w:ind w:left="3818" w:hanging="360"/>
      </w:pPr>
      <w:rPr>
        <w:rFonts w:ascii="Noto Sans Symbols" w:eastAsia="Noto Sans Symbols" w:hAnsi="Noto Sans Symbols" w:cs="Noto Sans Symbols"/>
      </w:rPr>
    </w:lvl>
    <w:lvl w:ilvl="6">
      <w:start w:val="1"/>
      <w:numFmt w:val="bullet"/>
      <w:lvlText w:val="●"/>
      <w:lvlJc w:val="left"/>
      <w:pPr>
        <w:ind w:left="4538" w:hanging="360"/>
      </w:pPr>
      <w:rPr>
        <w:rFonts w:ascii="Noto Sans Symbols" w:eastAsia="Noto Sans Symbols" w:hAnsi="Noto Sans Symbols" w:cs="Noto Sans Symbols"/>
      </w:rPr>
    </w:lvl>
    <w:lvl w:ilvl="7">
      <w:start w:val="1"/>
      <w:numFmt w:val="bullet"/>
      <w:lvlText w:val="o"/>
      <w:lvlJc w:val="left"/>
      <w:pPr>
        <w:ind w:left="5258" w:hanging="360"/>
      </w:pPr>
      <w:rPr>
        <w:rFonts w:ascii="Courier New" w:eastAsia="Courier New" w:hAnsi="Courier New" w:cs="Courier New"/>
      </w:rPr>
    </w:lvl>
    <w:lvl w:ilvl="8">
      <w:start w:val="1"/>
      <w:numFmt w:val="bullet"/>
      <w:lvlText w:val="▪"/>
      <w:lvlJc w:val="left"/>
      <w:pPr>
        <w:ind w:left="5978"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B75"/>
    <w:rsid w:val="00003390"/>
    <w:rsid w:val="000D2526"/>
    <w:rsid w:val="0011401C"/>
    <w:rsid w:val="00183CE1"/>
    <w:rsid w:val="001D1B75"/>
    <w:rsid w:val="00237163"/>
    <w:rsid w:val="002D7749"/>
    <w:rsid w:val="00332AB8"/>
    <w:rsid w:val="0036453E"/>
    <w:rsid w:val="004326FE"/>
    <w:rsid w:val="0043278D"/>
    <w:rsid w:val="00453E06"/>
    <w:rsid w:val="00496F3D"/>
    <w:rsid w:val="004A22EF"/>
    <w:rsid w:val="00537C17"/>
    <w:rsid w:val="005820BC"/>
    <w:rsid w:val="005B76C7"/>
    <w:rsid w:val="00616796"/>
    <w:rsid w:val="00755AC1"/>
    <w:rsid w:val="00823D5F"/>
    <w:rsid w:val="00825C97"/>
    <w:rsid w:val="008A7AA6"/>
    <w:rsid w:val="008C6EF9"/>
    <w:rsid w:val="009546A9"/>
    <w:rsid w:val="009865E6"/>
    <w:rsid w:val="00B34480"/>
    <w:rsid w:val="00B851FD"/>
    <w:rsid w:val="00C3351A"/>
    <w:rsid w:val="00C966AC"/>
    <w:rsid w:val="00DA1CBB"/>
    <w:rsid w:val="00DC0C68"/>
    <w:rsid w:val="00E46EB4"/>
    <w:rsid w:val="00E9495D"/>
    <w:rsid w:val="00F3421C"/>
    <w:rsid w:val="00F96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B2E85"/>
  <w15:docId w15:val="{9E547D96-870A-4211-B9C4-1A5BADDED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630"/>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Normal (Web)"/>
    <w:basedOn w:val="a"/>
    <w:uiPriority w:val="99"/>
    <w:unhideWhenUsed/>
    <w:rsid w:val="0052363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E41CB1"/>
    <w:rPr>
      <w:color w:val="0563C1" w:themeColor="hyperlink"/>
      <w:u w:val="single"/>
    </w:rPr>
  </w:style>
  <w:style w:type="character" w:customStyle="1" w:styleId="10">
    <w:name w:val="Неразрешенное упоминание1"/>
    <w:basedOn w:val="a0"/>
    <w:uiPriority w:val="99"/>
    <w:semiHidden/>
    <w:unhideWhenUsed/>
    <w:rsid w:val="00E41CB1"/>
    <w:rPr>
      <w:color w:val="605E5C"/>
      <w:shd w:val="clear" w:color="auto" w:fill="E1DFDD"/>
    </w:rPr>
  </w:style>
  <w:style w:type="character" w:styleId="a6">
    <w:name w:val="Strong"/>
    <w:basedOn w:val="a0"/>
    <w:uiPriority w:val="22"/>
    <w:qFormat/>
    <w:rsid w:val="00E743A3"/>
    <w:rPr>
      <w:b/>
      <w:bCs/>
    </w:rPr>
  </w:style>
  <w:style w:type="paragraph" w:styleId="a7">
    <w:name w:val="List Paragraph"/>
    <w:basedOn w:val="a"/>
    <w:uiPriority w:val="34"/>
    <w:qFormat/>
    <w:rsid w:val="00036BA9"/>
    <w:pPr>
      <w:ind w:left="720"/>
      <w:contextualSpacing/>
    </w:p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styleId="a9">
    <w:name w:val="Table Grid"/>
    <w:basedOn w:val="a1"/>
    <w:uiPriority w:val="59"/>
    <w:rsid w:val="000C5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basedOn w:val="a0"/>
    <w:uiPriority w:val="99"/>
    <w:semiHidden/>
    <w:unhideWhenUsed/>
    <w:rsid w:val="003A1C09"/>
    <w:rPr>
      <w:color w:val="605E5C"/>
      <w:shd w:val="clear" w:color="auto" w:fill="E1DFDD"/>
    </w:rPr>
  </w:style>
  <w:style w:type="table" w:customStyle="1" w:styleId="ab">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voxukraine.org/uk/prihovanij-klondajk-yak-rozkriti-potentsial-byudzhetiv-ob-yednanih-teritorialnih-gromad/" TargetMode="External"/><Relationship Id="rId3" Type="http://schemas.openxmlformats.org/officeDocument/2006/relationships/styles" Target="styles.xml"/><Relationship Id="rId7" Type="http://schemas.openxmlformats.org/officeDocument/2006/relationships/hyperlink" Target="https://zakon.rada.gov.ua/laws/show/1793-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ecentralization.gov.ua/news/1335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2621-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8l2fj84FQefOGCnJcAFgfxty+w==">AMUW2mWYaSjJN6SZVWZhliBL2aEUtvf9lObbhbcmGFT2UhqwbprD2nXv7E7g5zygL7Aj3igeDy08ODtEQtd9pIj1TAgdUJEA6Ew0fVKv7/wTdQWmxTIAe2o=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1397</Words>
  <Characters>7965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105</cp:revision>
  <dcterms:created xsi:type="dcterms:W3CDTF">2021-03-28T16:32:00Z</dcterms:created>
  <dcterms:modified xsi:type="dcterms:W3CDTF">2021-04-07T17:57:00Z</dcterms:modified>
</cp:coreProperties>
</file>